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0F8F" w:rsidRPr="005F0A67" w:rsidRDefault="00220F8F" w:rsidP="00220F8F">
      <w:pPr>
        <w:jc w:val="right"/>
        <w:rPr>
          <w:rFonts w:ascii="Times New Roman" w:hAnsi="Times New Roman" w:cs="Times New Roman"/>
          <w:color w:val="auto"/>
        </w:rPr>
      </w:pPr>
      <w:r w:rsidRPr="005F0A67">
        <w:rPr>
          <w:rFonts w:ascii="Times New Roman" w:hAnsi="Times New Roman" w:cs="Times New Roman"/>
          <w:color w:val="auto"/>
        </w:rPr>
        <w:t xml:space="preserve">Приложение </w:t>
      </w:r>
    </w:p>
    <w:p w:rsidR="00220F8F" w:rsidRPr="005F0A67" w:rsidRDefault="00220F8F" w:rsidP="00220F8F">
      <w:pPr>
        <w:jc w:val="right"/>
        <w:rPr>
          <w:rFonts w:ascii="Times New Roman" w:hAnsi="Times New Roman" w:cs="Times New Roman"/>
          <w:color w:val="auto"/>
        </w:rPr>
      </w:pPr>
      <w:r w:rsidRPr="005F0A67">
        <w:rPr>
          <w:rFonts w:ascii="Times New Roman" w:hAnsi="Times New Roman" w:cs="Times New Roman"/>
          <w:color w:val="auto"/>
        </w:rPr>
        <w:t>к постановлению Администрации Чаинского района</w:t>
      </w:r>
    </w:p>
    <w:p w:rsidR="00220F8F" w:rsidRPr="005F0A67" w:rsidRDefault="00220F8F" w:rsidP="00220F8F">
      <w:pPr>
        <w:jc w:val="right"/>
        <w:rPr>
          <w:rFonts w:ascii="Times New Roman" w:hAnsi="Times New Roman" w:cs="Times New Roman"/>
          <w:color w:val="auto"/>
        </w:rPr>
      </w:pPr>
      <w:r w:rsidRPr="005F0A67">
        <w:rPr>
          <w:rFonts w:ascii="Times New Roman" w:hAnsi="Times New Roman" w:cs="Times New Roman"/>
          <w:color w:val="auto"/>
        </w:rPr>
        <w:t>от 00.00.2024 №000</w:t>
      </w:r>
    </w:p>
    <w:p w:rsidR="00220F8F" w:rsidRPr="005F0A67" w:rsidRDefault="00220F8F" w:rsidP="00220F8F">
      <w:pPr>
        <w:rPr>
          <w:rFonts w:ascii="Times New Roman" w:hAnsi="Times New Roman" w:cs="Times New Roman"/>
          <w:color w:val="auto"/>
        </w:rPr>
      </w:pPr>
    </w:p>
    <w:p w:rsidR="00220F8F" w:rsidRPr="005F0A67" w:rsidRDefault="00220F8F" w:rsidP="00220F8F">
      <w:pPr>
        <w:jc w:val="center"/>
        <w:rPr>
          <w:rFonts w:ascii="Times New Roman" w:hAnsi="Times New Roman" w:cs="Times New Roman"/>
          <w:color w:val="auto"/>
        </w:rPr>
      </w:pPr>
      <w:r w:rsidRPr="005F0A67">
        <w:rPr>
          <w:rFonts w:ascii="Times New Roman" w:hAnsi="Times New Roman" w:cs="Times New Roman"/>
          <w:color w:val="auto"/>
        </w:rPr>
        <w:t>Паспорт</w:t>
      </w:r>
    </w:p>
    <w:p w:rsidR="00220F8F" w:rsidRPr="005F0A67" w:rsidRDefault="00220F8F" w:rsidP="00220F8F">
      <w:pPr>
        <w:jc w:val="center"/>
        <w:rPr>
          <w:rFonts w:ascii="Times New Roman" w:hAnsi="Times New Roman" w:cs="Times New Roman"/>
          <w:color w:val="auto"/>
        </w:rPr>
      </w:pPr>
      <w:r w:rsidRPr="005F0A67">
        <w:rPr>
          <w:rFonts w:ascii="Times New Roman" w:hAnsi="Times New Roman" w:cs="Times New Roman"/>
          <w:color w:val="auto"/>
        </w:rPr>
        <w:t>муниципальной программы</w:t>
      </w:r>
    </w:p>
    <w:p w:rsidR="00220F8F" w:rsidRPr="005F0A67" w:rsidRDefault="00220F8F" w:rsidP="00220F8F">
      <w:pPr>
        <w:jc w:val="center"/>
        <w:rPr>
          <w:rFonts w:ascii="Times New Roman" w:hAnsi="Times New Roman" w:cs="Times New Roman"/>
          <w:color w:val="auto"/>
        </w:rPr>
      </w:pPr>
      <w:r w:rsidRPr="005F0A67">
        <w:rPr>
          <w:rFonts w:ascii="Times New Roman" w:hAnsi="Times New Roman" w:cs="Times New Roman"/>
          <w:color w:val="auto"/>
        </w:rPr>
        <w:t>«Доступное дополнительное образование детей на территории Чаинского района на 2025 – 2027 годы»</w:t>
      </w:r>
    </w:p>
    <w:p w:rsidR="00220F8F" w:rsidRPr="005F0A67" w:rsidRDefault="00220F8F" w:rsidP="00220F8F">
      <w:pPr>
        <w:rPr>
          <w:rFonts w:ascii="Times New Roman" w:hAnsi="Times New Roman" w:cs="Times New Roman"/>
          <w:color w:val="auto"/>
        </w:rPr>
      </w:pPr>
    </w:p>
    <w:tbl>
      <w:tblPr>
        <w:tblW w:w="9780" w:type="dxa"/>
        <w:tblInd w:w="75" w:type="dxa"/>
        <w:tblLayout w:type="fixed"/>
        <w:tblCellMar>
          <w:left w:w="75" w:type="dxa"/>
          <w:right w:w="75" w:type="dxa"/>
        </w:tblCellMar>
        <w:tblLook w:val="04A0" w:firstRow="1" w:lastRow="0" w:firstColumn="1" w:lastColumn="0" w:noHBand="0" w:noVBand="1"/>
      </w:tblPr>
      <w:tblGrid>
        <w:gridCol w:w="2519"/>
        <w:gridCol w:w="1875"/>
        <w:gridCol w:w="1346"/>
        <w:gridCol w:w="1347"/>
        <w:gridCol w:w="1346"/>
        <w:gridCol w:w="1347"/>
      </w:tblGrid>
      <w:tr w:rsidR="005F0A67" w:rsidRPr="005F0A67" w:rsidTr="00220F8F">
        <w:trPr>
          <w:trHeight w:val="800"/>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 xml:space="preserve">Наименование муниципальной программы (далее – Программа)     </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rsidP="00220F8F">
            <w:pPr>
              <w:rPr>
                <w:rFonts w:ascii="Times New Roman" w:hAnsi="Times New Roman" w:cs="Times New Roman"/>
                <w:color w:val="auto"/>
              </w:rPr>
            </w:pPr>
            <w:r w:rsidRPr="005F0A67">
              <w:rPr>
                <w:rFonts w:ascii="Times New Roman" w:hAnsi="Times New Roman" w:cs="Times New Roman"/>
                <w:color w:val="auto"/>
              </w:rPr>
              <w:t xml:space="preserve">«Доступное дополнительное образование детей на территории Чаинского района на 2025 – 2027 годы» </w:t>
            </w:r>
          </w:p>
        </w:tc>
      </w:tr>
      <w:tr w:rsidR="005F0A67" w:rsidRPr="005F0A67" w:rsidTr="00220F8F">
        <w:trPr>
          <w:trHeight w:val="674"/>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Основание для разработки Программы</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 xml:space="preserve">В соответствии с Бюджетным кодексом Российской Федерации, руководствуясь постановлениями Администрации Чаинского района от 30.12.2016 № 543 «Об утверждении Порядка разработки муниципальных программ муниципального образования «Чаинский район», принятия решений о начале разработки муниципальных программ, их формирования и реализации», от 05.07.2018 № 199 «Об утверждении Положения о персонифицированном образовании детей в муниципальном образовании «Чаинский район» </w:t>
            </w:r>
          </w:p>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Постановление Администрации Чаинского района от 05.07.2024 № 383 «Об утверждении Перечня муниципальных программ муниципального образования «Чаинский район Томской области» на 2025 год»</w:t>
            </w:r>
          </w:p>
        </w:tc>
      </w:tr>
      <w:tr w:rsidR="005F0A67" w:rsidRPr="005F0A67" w:rsidTr="00220F8F">
        <w:trPr>
          <w:trHeight w:val="528"/>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 xml:space="preserve">Сроки (этапы)  реализации Программы </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rsidP="00220F8F">
            <w:pPr>
              <w:pStyle w:val="ConsPlusCell"/>
              <w:jc w:val="both"/>
            </w:pPr>
            <w:r w:rsidRPr="005F0A67">
              <w:t>2025 - 2027</w:t>
            </w:r>
          </w:p>
        </w:tc>
      </w:tr>
      <w:tr w:rsidR="005F0A67" w:rsidRPr="005F0A67" w:rsidTr="00220F8F">
        <w:trPr>
          <w:trHeight w:val="824"/>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Координатор Программы</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Заместитель Главы Чаинского района по социальным вопросам Администрации Чаинского района</w:t>
            </w:r>
          </w:p>
        </w:tc>
      </w:tr>
      <w:tr w:rsidR="005F0A67" w:rsidRPr="005F0A67" w:rsidTr="00220F8F">
        <w:trPr>
          <w:trHeight w:val="824"/>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Ответственный исполнитель Программы</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Управление образования Администрации Чаинского района (далее – Управление образования)</w:t>
            </w:r>
          </w:p>
        </w:tc>
      </w:tr>
      <w:tr w:rsidR="005F0A67" w:rsidRPr="005F0A67" w:rsidTr="00220F8F">
        <w:trPr>
          <w:trHeight w:val="449"/>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 xml:space="preserve">Соисполнители Программы </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Отсутствует</w:t>
            </w:r>
          </w:p>
        </w:tc>
      </w:tr>
      <w:tr w:rsidR="005F0A67" w:rsidRPr="005F0A67" w:rsidTr="00220F8F">
        <w:trPr>
          <w:trHeight w:val="1200"/>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Участники Программы</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Муниципальное бюджетное образовательное учреждение дополнительного образования «Чаинский дом детского творчества» (далее МБОУ ДО «Чаинский ДДТ»);</w:t>
            </w:r>
          </w:p>
          <w:p w:rsidR="00220F8F" w:rsidRPr="005F0A67" w:rsidRDefault="00220F8F">
            <w:pPr>
              <w:pStyle w:val="ConsPlusCell"/>
              <w:jc w:val="both"/>
            </w:pPr>
            <w:r w:rsidRPr="005F0A67">
              <w:t>Муниципальное бюджетное образовательное учреждение дополнительного образования «Чаинская детско-юношеская спортивная школа» (далее – МБОУ ДО «Чаинская ДЮСШ»)</w:t>
            </w:r>
          </w:p>
        </w:tc>
      </w:tr>
      <w:tr w:rsidR="005F0A67" w:rsidRPr="005F0A67" w:rsidTr="00220F8F">
        <w:trPr>
          <w:trHeight w:val="2861"/>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Цель социально-экономического развития муниципального образования «Чаинский район Томской области», на реализацию которой направлена Программа</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Повышение уровня и качества жизни населения на всей территории Чаинского района, накопление человеческого потенциала</w:t>
            </w:r>
          </w:p>
        </w:tc>
      </w:tr>
      <w:tr w:rsidR="005F0A67" w:rsidRPr="005F0A67" w:rsidTr="00220F8F">
        <w:trPr>
          <w:trHeight w:val="344"/>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lastRenderedPageBreak/>
              <w:t>Цель Программы</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 xml:space="preserve">Внедрение модели персонифицированного финансирования </w:t>
            </w:r>
            <w:r w:rsidRPr="005F0A67">
              <w:rPr>
                <w:rFonts w:eastAsia="+mn-ea"/>
              </w:rPr>
              <w:t xml:space="preserve"> дополнительного образования детей </w:t>
            </w:r>
          </w:p>
        </w:tc>
      </w:tr>
      <w:tr w:rsidR="005F0A67" w:rsidRPr="005F0A67" w:rsidTr="00220F8F">
        <w:trPr>
          <w:trHeight w:val="617"/>
        </w:trPr>
        <w:tc>
          <w:tcPr>
            <w:tcW w:w="2520" w:type="dxa"/>
            <w:tcBorders>
              <w:top w:val="nil"/>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Задачи Программы</w:t>
            </w:r>
          </w:p>
        </w:tc>
        <w:tc>
          <w:tcPr>
            <w:tcW w:w="7261" w:type="dxa"/>
            <w:gridSpan w:val="5"/>
            <w:tcBorders>
              <w:top w:val="nil"/>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Обеспечение персонифицированного финансирования дополнительного образования детей</w:t>
            </w:r>
          </w:p>
        </w:tc>
      </w:tr>
      <w:tr w:rsidR="005F0A67" w:rsidRPr="005F0A67" w:rsidTr="00220F8F">
        <w:trPr>
          <w:trHeight w:val="273"/>
        </w:trPr>
        <w:tc>
          <w:tcPr>
            <w:tcW w:w="2520" w:type="dxa"/>
            <w:vMerge w:val="restart"/>
            <w:tcBorders>
              <w:top w:val="nil"/>
              <w:left w:val="single" w:sz="4" w:space="0" w:color="auto"/>
              <w:bottom w:val="nil"/>
              <w:right w:val="single" w:sz="4" w:space="0" w:color="auto"/>
            </w:tcBorders>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Показатели мероприятий задач Программы и их значения (с детализаций по годам реализации)</w:t>
            </w:r>
          </w:p>
          <w:p w:rsidR="00220F8F" w:rsidRPr="005F0A67" w:rsidRDefault="00220F8F" w:rsidP="00220F8F">
            <w:pPr>
              <w:rPr>
                <w:rFonts w:ascii="Times New Roman" w:hAnsi="Times New Roman" w:cs="Times New Roman"/>
                <w:color w:val="auto"/>
              </w:rPr>
            </w:pPr>
          </w:p>
        </w:tc>
        <w:tc>
          <w:tcPr>
            <w:tcW w:w="1875" w:type="dxa"/>
            <w:tcBorders>
              <w:top w:val="nil"/>
              <w:left w:val="single" w:sz="4" w:space="0" w:color="auto"/>
              <w:bottom w:val="single" w:sz="4" w:space="0" w:color="auto"/>
              <w:right w:val="single" w:sz="4" w:space="0" w:color="auto"/>
            </w:tcBorders>
            <w:vAlign w:val="center"/>
            <w:hideMark/>
          </w:tcPr>
          <w:p w:rsidR="00220F8F" w:rsidRPr="005F0A67" w:rsidRDefault="00220F8F">
            <w:pPr>
              <w:pStyle w:val="ConsPlusCell"/>
              <w:jc w:val="center"/>
            </w:pPr>
            <w:r w:rsidRPr="005F0A67">
              <w:t>Показатели задач</w:t>
            </w:r>
          </w:p>
        </w:tc>
        <w:tc>
          <w:tcPr>
            <w:tcW w:w="1346" w:type="dxa"/>
            <w:tcBorders>
              <w:top w:val="nil"/>
              <w:left w:val="single" w:sz="4" w:space="0" w:color="auto"/>
              <w:bottom w:val="single" w:sz="4" w:space="0" w:color="auto"/>
              <w:right w:val="single" w:sz="4" w:space="0" w:color="auto"/>
            </w:tcBorders>
            <w:vAlign w:val="center"/>
            <w:hideMark/>
          </w:tcPr>
          <w:p w:rsidR="00220F8F" w:rsidRPr="005F0A67" w:rsidRDefault="00220F8F" w:rsidP="00220F8F">
            <w:pPr>
              <w:pStyle w:val="ConsPlusCell"/>
              <w:jc w:val="center"/>
            </w:pPr>
            <w:r w:rsidRPr="005F0A67">
              <w:t>Предшествующий год реализации (2024)</w:t>
            </w:r>
          </w:p>
        </w:tc>
        <w:tc>
          <w:tcPr>
            <w:tcW w:w="1347" w:type="dxa"/>
            <w:tcBorders>
              <w:top w:val="nil"/>
              <w:left w:val="single" w:sz="4" w:space="0" w:color="auto"/>
              <w:bottom w:val="single" w:sz="4" w:space="0" w:color="auto"/>
              <w:right w:val="single" w:sz="4" w:space="0" w:color="auto"/>
            </w:tcBorders>
            <w:vAlign w:val="center"/>
            <w:hideMark/>
          </w:tcPr>
          <w:p w:rsidR="00220F8F" w:rsidRPr="005F0A67" w:rsidRDefault="00220F8F" w:rsidP="00220F8F">
            <w:pPr>
              <w:pStyle w:val="ConsPlusCell"/>
              <w:jc w:val="center"/>
            </w:pPr>
            <w:r w:rsidRPr="005F0A67">
              <w:t>2025</w:t>
            </w:r>
          </w:p>
        </w:tc>
        <w:tc>
          <w:tcPr>
            <w:tcW w:w="1346" w:type="dxa"/>
            <w:tcBorders>
              <w:top w:val="nil"/>
              <w:left w:val="single" w:sz="4" w:space="0" w:color="auto"/>
              <w:bottom w:val="single" w:sz="4" w:space="0" w:color="auto"/>
              <w:right w:val="single" w:sz="4" w:space="0" w:color="auto"/>
            </w:tcBorders>
            <w:vAlign w:val="center"/>
            <w:hideMark/>
          </w:tcPr>
          <w:p w:rsidR="00220F8F" w:rsidRPr="005F0A67" w:rsidRDefault="00220F8F" w:rsidP="00220F8F">
            <w:pPr>
              <w:pStyle w:val="ConsPlusCell"/>
              <w:jc w:val="center"/>
            </w:pPr>
            <w:r w:rsidRPr="005F0A67">
              <w:t>2026</w:t>
            </w:r>
          </w:p>
        </w:tc>
        <w:tc>
          <w:tcPr>
            <w:tcW w:w="1347" w:type="dxa"/>
            <w:tcBorders>
              <w:top w:val="nil"/>
              <w:left w:val="single" w:sz="4" w:space="0" w:color="auto"/>
              <w:bottom w:val="single" w:sz="4" w:space="0" w:color="auto"/>
              <w:right w:val="single" w:sz="4" w:space="0" w:color="auto"/>
            </w:tcBorders>
            <w:vAlign w:val="center"/>
            <w:hideMark/>
          </w:tcPr>
          <w:p w:rsidR="00220F8F" w:rsidRPr="005F0A67" w:rsidRDefault="00220F8F" w:rsidP="00220F8F">
            <w:pPr>
              <w:pStyle w:val="ConsPlusCell"/>
              <w:jc w:val="center"/>
            </w:pPr>
            <w:r w:rsidRPr="005F0A67">
              <w:t>2027</w:t>
            </w:r>
          </w:p>
        </w:tc>
      </w:tr>
      <w:tr w:rsidR="005F0A67" w:rsidRPr="005F0A67" w:rsidTr="00220F8F">
        <w:trPr>
          <w:trHeight w:val="558"/>
        </w:trPr>
        <w:tc>
          <w:tcPr>
            <w:tcW w:w="2520" w:type="dxa"/>
            <w:vMerge/>
            <w:tcBorders>
              <w:top w:val="nil"/>
              <w:left w:val="single" w:sz="4" w:space="0" w:color="auto"/>
              <w:bottom w:val="nil"/>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Задача: обеспечение персонифицированного финансирования дополнительного образования детей</w:t>
            </w:r>
          </w:p>
        </w:tc>
      </w:tr>
      <w:tr w:rsidR="005F0A67" w:rsidRPr="005F0A67" w:rsidTr="00220F8F">
        <w:trPr>
          <w:trHeight w:val="698"/>
        </w:trPr>
        <w:tc>
          <w:tcPr>
            <w:tcW w:w="2520" w:type="dxa"/>
            <w:vMerge/>
            <w:tcBorders>
              <w:top w:val="nil"/>
              <w:left w:val="single" w:sz="4" w:space="0" w:color="auto"/>
              <w:bottom w:val="nil"/>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pPr>
            <w:r w:rsidRPr="005F0A67">
              <w:t>Мероприятие 1: охват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за исключением обучающихся в детских школах искусств).</w:t>
            </w:r>
          </w:p>
        </w:tc>
      </w:tr>
      <w:tr w:rsidR="005F0A67" w:rsidRPr="005F0A67" w:rsidTr="00220F8F">
        <w:trPr>
          <w:trHeight w:val="4809"/>
        </w:trPr>
        <w:tc>
          <w:tcPr>
            <w:tcW w:w="2520" w:type="dxa"/>
            <w:vMerge w:val="restart"/>
            <w:tcBorders>
              <w:top w:val="single" w:sz="4" w:space="0" w:color="auto"/>
              <w:left w:val="single" w:sz="4" w:space="0" w:color="auto"/>
              <w:bottom w:val="nil"/>
              <w:right w:val="single" w:sz="4" w:space="0" w:color="auto"/>
            </w:tcBorders>
          </w:tcPr>
          <w:p w:rsidR="00220F8F" w:rsidRPr="005F0A67" w:rsidRDefault="00220F8F">
            <w:pPr>
              <w:rPr>
                <w:rFonts w:ascii="Times New Roman" w:hAnsi="Times New Roman" w:cs="Times New Roman"/>
                <w:color w:val="auto"/>
              </w:rPr>
            </w:pP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pStyle w:val="ConsPlusCell"/>
              <w:jc w:val="both"/>
              <w:rPr>
                <w:u w:val="single"/>
              </w:rPr>
            </w:pPr>
            <w:r w:rsidRPr="005F0A67">
              <w:rPr>
                <w:u w:val="single"/>
              </w:rPr>
              <w:t xml:space="preserve">Показатель </w:t>
            </w:r>
          </w:p>
          <w:p w:rsidR="00220F8F" w:rsidRPr="005F0A67" w:rsidRDefault="00220F8F">
            <w:pPr>
              <w:rPr>
                <w:rFonts w:ascii="Times New Roman" w:hAnsi="Times New Roman" w:cs="Times New Roman"/>
                <w:color w:val="auto"/>
                <w:u w:val="single"/>
              </w:rPr>
            </w:pPr>
            <w:r w:rsidRPr="005F0A67">
              <w:rPr>
                <w:rFonts w:ascii="Times New Roman" w:hAnsi="Times New Roman" w:cs="Times New Roman"/>
                <w:color w:val="auto"/>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детских школах искусств, (%)</w:t>
            </w:r>
          </w:p>
        </w:tc>
        <w:tc>
          <w:tcPr>
            <w:tcW w:w="1346" w:type="dxa"/>
            <w:tcBorders>
              <w:top w:val="single" w:sz="4" w:space="0" w:color="auto"/>
              <w:left w:val="single" w:sz="4" w:space="0" w:color="auto"/>
              <w:bottom w:val="single" w:sz="4" w:space="0" w:color="auto"/>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100</w:t>
            </w:r>
          </w:p>
        </w:tc>
        <w:tc>
          <w:tcPr>
            <w:tcW w:w="1347" w:type="dxa"/>
            <w:tcBorders>
              <w:top w:val="single" w:sz="4" w:space="0" w:color="auto"/>
              <w:left w:val="single" w:sz="4" w:space="0" w:color="auto"/>
              <w:bottom w:val="single" w:sz="4" w:space="0" w:color="auto"/>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100</w:t>
            </w:r>
          </w:p>
        </w:tc>
        <w:tc>
          <w:tcPr>
            <w:tcW w:w="1346" w:type="dxa"/>
            <w:tcBorders>
              <w:top w:val="single" w:sz="4" w:space="0" w:color="auto"/>
              <w:left w:val="single" w:sz="4" w:space="0" w:color="auto"/>
              <w:bottom w:val="single" w:sz="4" w:space="0" w:color="auto"/>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100</w:t>
            </w:r>
          </w:p>
        </w:tc>
        <w:tc>
          <w:tcPr>
            <w:tcW w:w="1347" w:type="dxa"/>
            <w:tcBorders>
              <w:top w:val="single" w:sz="4" w:space="0" w:color="auto"/>
              <w:left w:val="single" w:sz="4" w:space="0" w:color="auto"/>
              <w:bottom w:val="single" w:sz="4" w:space="0" w:color="auto"/>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100</w:t>
            </w:r>
          </w:p>
        </w:tc>
      </w:tr>
      <w:tr w:rsidR="005F0A67" w:rsidRPr="005F0A67" w:rsidTr="00220F8F">
        <w:trPr>
          <w:trHeight w:val="164"/>
        </w:trPr>
        <w:tc>
          <w:tcPr>
            <w:tcW w:w="2520" w:type="dxa"/>
            <w:vMerge/>
            <w:tcBorders>
              <w:top w:val="single" w:sz="4" w:space="0" w:color="auto"/>
              <w:left w:val="single" w:sz="4" w:space="0" w:color="auto"/>
              <w:bottom w:val="nil"/>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7261" w:type="dxa"/>
            <w:gridSpan w:val="5"/>
            <w:tcBorders>
              <w:top w:val="single" w:sz="4" w:space="0" w:color="auto"/>
              <w:left w:val="single" w:sz="4" w:space="0" w:color="auto"/>
              <w:bottom w:val="nil"/>
              <w:right w:val="single" w:sz="4" w:space="0" w:color="auto"/>
            </w:tcBorders>
            <w:hideMark/>
          </w:tcPr>
          <w:p w:rsidR="00220F8F" w:rsidRPr="005F0A67" w:rsidRDefault="00220F8F">
            <w:pPr>
              <w:pStyle w:val="ConsPlusCell"/>
              <w:jc w:val="both"/>
            </w:pPr>
            <w:r w:rsidRPr="005F0A67">
              <w:t>Мероприятие 2: охват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5F0A67" w:rsidRPr="005F0A67" w:rsidTr="00220F8F">
        <w:trPr>
          <w:trHeight w:val="164"/>
        </w:trPr>
        <w:tc>
          <w:tcPr>
            <w:tcW w:w="2520" w:type="dxa"/>
            <w:vMerge/>
            <w:tcBorders>
              <w:top w:val="single" w:sz="4" w:space="0" w:color="auto"/>
              <w:left w:val="single" w:sz="4" w:space="0" w:color="auto"/>
              <w:bottom w:val="nil"/>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1875" w:type="dxa"/>
            <w:tcBorders>
              <w:top w:val="single" w:sz="4" w:space="0" w:color="auto"/>
              <w:left w:val="single" w:sz="4" w:space="0" w:color="auto"/>
              <w:bottom w:val="nil"/>
              <w:right w:val="single" w:sz="4" w:space="0" w:color="auto"/>
            </w:tcBorders>
            <w:hideMark/>
          </w:tcPr>
          <w:p w:rsidR="00220F8F" w:rsidRPr="005F0A67" w:rsidRDefault="00220F8F">
            <w:pPr>
              <w:pStyle w:val="ConsPlusCell"/>
              <w:jc w:val="both"/>
              <w:rPr>
                <w:u w:val="single"/>
              </w:rPr>
            </w:pPr>
            <w:r w:rsidRPr="005F0A67">
              <w:rPr>
                <w:u w:val="single"/>
              </w:rPr>
              <w:t xml:space="preserve">Показатель </w:t>
            </w:r>
          </w:p>
          <w:p w:rsidR="00220F8F" w:rsidRPr="005F0A67" w:rsidRDefault="00220F8F">
            <w:pPr>
              <w:rPr>
                <w:rFonts w:ascii="Times New Roman" w:hAnsi="Times New Roman" w:cs="Times New Roman"/>
                <w:color w:val="auto"/>
                <w:u w:val="single"/>
              </w:rPr>
            </w:pPr>
            <w:r w:rsidRPr="005F0A67">
              <w:rPr>
                <w:rFonts w:ascii="Times New Roman" w:hAnsi="Times New Roman" w:cs="Times New Roman"/>
                <w:color w:val="auto"/>
              </w:rPr>
              <w:t xml:space="preserve">Доля детей в возрасте от 5 до </w:t>
            </w:r>
            <w:r w:rsidRPr="005F0A67">
              <w:rPr>
                <w:rFonts w:ascii="Times New Roman" w:hAnsi="Times New Roman" w:cs="Times New Roman"/>
                <w:color w:val="auto"/>
              </w:rPr>
              <w:lastRenderedPageBreak/>
              <w:t>18 лет, обучающихся по дополнительным общеразвивающим программам за счет социального сертификата на получение муниципальной услуги в социальной сфере (%)</w:t>
            </w:r>
          </w:p>
        </w:tc>
        <w:tc>
          <w:tcPr>
            <w:tcW w:w="1346" w:type="dxa"/>
            <w:tcBorders>
              <w:top w:val="single" w:sz="4" w:space="0" w:color="auto"/>
              <w:left w:val="single" w:sz="4" w:space="0" w:color="auto"/>
              <w:bottom w:val="nil"/>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7</w:t>
            </w:r>
          </w:p>
        </w:tc>
        <w:tc>
          <w:tcPr>
            <w:tcW w:w="1347" w:type="dxa"/>
            <w:tcBorders>
              <w:top w:val="single" w:sz="4" w:space="0" w:color="auto"/>
              <w:left w:val="single" w:sz="4" w:space="0" w:color="auto"/>
              <w:bottom w:val="nil"/>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8</w:t>
            </w:r>
          </w:p>
        </w:tc>
        <w:tc>
          <w:tcPr>
            <w:tcW w:w="1346" w:type="dxa"/>
            <w:tcBorders>
              <w:top w:val="single" w:sz="4" w:space="0" w:color="auto"/>
              <w:left w:val="single" w:sz="4" w:space="0" w:color="auto"/>
              <w:bottom w:val="nil"/>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9</w:t>
            </w:r>
          </w:p>
        </w:tc>
        <w:tc>
          <w:tcPr>
            <w:tcW w:w="1347" w:type="dxa"/>
            <w:tcBorders>
              <w:top w:val="single" w:sz="4" w:space="0" w:color="auto"/>
              <w:left w:val="single" w:sz="4" w:space="0" w:color="auto"/>
              <w:bottom w:val="nil"/>
              <w:right w:val="single" w:sz="4" w:space="0" w:color="auto"/>
            </w:tcBorders>
          </w:tcPr>
          <w:p w:rsidR="00220F8F" w:rsidRPr="005F0A67" w:rsidRDefault="00220F8F">
            <w:pPr>
              <w:pStyle w:val="ConsPlusCell"/>
              <w:jc w:val="both"/>
            </w:pPr>
          </w:p>
          <w:p w:rsidR="00220F8F" w:rsidRPr="005F0A67" w:rsidRDefault="00220F8F">
            <w:pPr>
              <w:pStyle w:val="ConsPlusCell"/>
              <w:jc w:val="both"/>
            </w:pPr>
            <w:r w:rsidRPr="005F0A67">
              <w:t>10</w:t>
            </w:r>
          </w:p>
        </w:tc>
        <w:bookmarkStart w:id="0" w:name="_GoBack"/>
        <w:bookmarkEnd w:id="0"/>
      </w:tr>
      <w:tr w:rsidR="005F0A67" w:rsidRPr="005F0A67" w:rsidTr="00220F8F">
        <w:trPr>
          <w:trHeight w:val="246"/>
        </w:trPr>
        <w:tc>
          <w:tcPr>
            <w:tcW w:w="2520" w:type="dxa"/>
            <w:vMerge w:val="restart"/>
            <w:tcBorders>
              <w:top w:val="single" w:sz="4" w:space="0" w:color="auto"/>
              <w:left w:val="single" w:sz="4" w:space="0" w:color="auto"/>
              <w:bottom w:val="single" w:sz="4" w:space="0" w:color="auto"/>
              <w:right w:val="single" w:sz="4" w:space="0" w:color="auto"/>
            </w:tcBorders>
            <w:hideMark/>
          </w:tcPr>
          <w:p w:rsidR="00220F8F" w:rsidRPr="005F0A67" w:rsidRDefault="00220F8F" w:rsidP="00220F8F">
            <w:pPr>
              <w:rPr>
                <w:rFonts w:ascii="Times New Roman" w:hAnsi="Times New Roman" w:cs="Times New Roman"/>
                <w:color w:val="auto"/>
              </w:rPr>
            </w:pPr>
            <w:r w:rsidRPr="005F0A67">
              <w:rPr>
                <w:rFonts w:ascii="Times New Roman" w:hAnsi="Times New Roman" w:cs="Times New Roman"/>
                <w:color w:val="auto"/>
              </w:rPr>
              <w:lastRenderedPageBreak/>
              <w:t>Объемы и источники финансирования Программы (с детализацией по годам реализации Программы)* тыс. руб.</w:t>
            </w: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 xml:space="preserve">Источники </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Всего</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rsidP="00220F8F">
            <w:pPr>
              <w:rPr>
                <w:rFonts w:ascii="Times New Roman" w:hAnsi="Times New Roman" w:cs="Times New Roman"/>
                <w:color w:val="auto"/>
              </w:rPr>
            </w:pPr>
            <w:r w:rsidRPr="005F0A67">
              <w:rPr>
                <w:rFonts w:ascii="Times New Roman" w:hAnsi="Times New Roman" w:cs="Times New Roman"/>
                <w:color w:val="auto"/>
              </w:rPr>
              <w:t>2025</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2026</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2027</w:t>
            </w:r>
          </w:p>
        </w:tc>
      </w:tr>
      <w:tr w:rsidR="005F0A67" w:rsidRPr="005F0A67" w:rsidTr="00220F8F">
        <w:trPr>
          <w:trHeight w:val="255"/>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Федеральный бюджет</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r>
      <w:tr w:rsidR="005F0A67" w:rsidRPr="005F0A67" w:rsidTr="00220F8F">
        <w:trPr>
          <w:trHeight w:val="255"/>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 xml:space="preserve">Областной бюджет </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r>
      <w:tr w:rsidR="005F0A67" w:rsidRPr="005F0A67" w:rsidTr="00220F8F">
        <w:trPr>
          <w:trHeight w:val="255"/>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Местные бюджеты</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3745,8</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1248,6</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rsidP="00220F8F">
            <w:pPr>
              <w:rPr>
                <w:rFonts w:ascii="Times New Roman" w:hAnsi="Times New Roman" w:cs="Times New Roman"/>
                <w:color w:val="auto"/>
              </w:rPr>
            </w:pPr>
            <w:r w:rsidRPr="005F0A67">
              <w:rPr>
                <w:rFonts w:ascii="Times New Roman" w:hAnsi="Times New Roman" w:cs="Times New Roman"/>
                <w:color w:val="auto"/>
              </w:rPr>
              <w:t>1248,6</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1248,6</w:t>
            </w:r>
          </w:p>
        </w:tc>
      </w:tr>
      <w:tr w:rsidR="005F0A67" w:rsidRPr="005F0A67" w:rsidTr="00220F8F">
        <w:trPr>
          <w:trHeight w:val="435"/>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Внебюджетные источники</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w:t>
            </w:r>
          </w:p>
        </w:tc>
      </w:tr>
      <w:tr w:rsidR="005F0A67" w:rsidRPr="005F0A67" w:rsidTr="00220F8F">
        <w:trPr>
          <w:trHeight w:val="578"/>
        </w:trPr>
        <w:tc>
          <w:tcPr>
            <w:tcW w:w="2520" w:type="dxa"/>
            <w:vMerge/>
            <w:tcBorders>
              <w:top w:val="single" w:sz="4" w:space="0" w:color="auto"/>
              <w:left w:val="single" w:sz="4" w:space="0" w:color="auto"/>
              <w:bottom w:val="single" w:sz="4" w:space="0" w:color="auto"/>
              <w:right w:val="single" w:sz="4" w:space="0" w:color="auto"/>
            </w:tcBorders>
            <w:vAlign w:val="center"/>
            <w:hideMark/>
          </w:tcPr>
          <w:p w:rsidR="00220F8F" w:rsidRPr="005F0A67" w:rsidRDefault="00220F8F">
            <w:pPr>
              <w:jc w:val="left"/>
              <w:rPr>
                <w:rFonts w:ascii="Times New Roman" w:hAnsi="Times New Roman" w:cs="Times New Roman"/>
                <w:color w:val="auto"/>
              </w:rPr>
            </w:pPr>
          </w:p>
        </w:tc>
        <w:tc>
          <w:tcPr>
            <w:tcW w:w="1875"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Всего по источникам</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3745,8</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1248,6</w:t>
            </w:r>
          </w:p>
        </w:tc>
        <w:tc>
          <w:tcPr>
            <w:tcW w:w="1346"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1248,6</w:t>
            </w:r>
          </w:p>
        </w:tc>
        <w:tc>
          <w:tcPr>
            <w:tcW w:w="1347"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1248,6</w:t>
            </w:r>
          </w:p>
        </w:tc>
      </w:tr>
      <w:tr w:rsidR="005F0A67" w:rsidRPr="005F0A67" w:rsidTr="00220F8F">
        <w:trPr>
          <w:trHeight w:val="630"/>
        </w:trPr>
        <w:tc>
          <w:tcPr>
            <w:tcW w:w="2520" w:type="dxa"/>
            <w:tcBorders>
              <w:top w:val="single" w:sz="4" w:space="0" w:color="auto"/>
              <w:left w:val="single" w:sz="4" w:space="0" w:color="auto"/>
              <w:bottom w:val="single" w:sz="4" w:space="0" w:color="auto"/>
              <w:right w:val="single" w:sz="4" w:space="0" w:color="auto"/>
            </w:tcBorders>
            <w:hideMark/>
          </w:tcPr>
          <w:p w:rsidR="00220F8F" w:rsidRPr="005F0A67" w:rsidRDefault="00220F8F">
            <w:pPr>
              <w:rPr>
                <w:rFonts w:ascii="Times New Roman" w:hAnsi="Times New Roman" w:cs="Times New Roman"/>
                <w:color w:val="auto"/>
              </w:rPr>
            </w:pPr>
            <w:r w:rsidRPr="005F0A67">
              <w:rPr>
                <w:rFonts w:ascii="Times New Roman" w:hAnsi="Times New Roman" w:cs="Times New Roman"/>
                <w:color w:val="auto"/>
              </w:rPr>
              <w:t>Конечные результаты реализации Программы</w:t>
            </w:r>
          </w:p>
        </w:tc>
        <w:tc>
          <w:tcPr>
            <w:tcW w:w="7261" w:type="dxa"/>
            <w:gridSpan w:val="5"/>
            <w:tcBorders>
              <w:top w:val="single" w:sz="4" w:space="0" w:color="auto"/>
              <w:left w:val="single" w:sz="4" w:space="0" w:color="auto"/>
              <w:bottom w:val="single" w:sz="4" w:space="0" w:color="auto"/>
              <w:right w:val="single" w:sz="4" w:space="0" w:color="auto"/>
            </w:tcBorders>
            <w:hideMark/>
          </w:tcPr>
          <w:p w:rsidR="00220F8F" w:rsidRPr="005F0A67" w:rsidRDefault="00220F8F" w:rsidP="00220F8F">
            <w:pPr>
              <w:pStyle w:val="ConsPlusCell"/>
              <w:jc w:val="both"/>
            </w:pPr>
            <w:r w:rsidRPr="005F0A67">
              <w:t xml:space="preserve">За период реализации Программы охват детей в возрасте от 5 до 18 лет дополнительным образованием с использованием персонифицированного финансирования к концу 2027 года должен составить – 100% </w:t>
            </w:r>
            <w:r w:rsidRPr="005F0A67">
              <w:rPr>
                <w:rStyle w:val="212pt"/>
                <w:color w:val="auto"/>
              </w:rPr>
              <w:t>от общего числа детей в возрасте от 5 до 18 лет</w:t>
            </w:r>
          </w:p>
        </w:tc>
      </w:tr>
    </w:tbl>
    <w:p w:rsidR="00220F8F" w:rsidRPr="005F0A67" w:rsidRDefault="00220F8F" w:rsidP="00220F8F">
      <w:pPr>
        <w:rPr>
          <w:rFonts w:ascii="Times New Roman" w:hAnsi="Times New Roman" w:cs="Times New Roman"/>
          <w:color w:val="auto"/>
        </w:rPr>
      </w:pPr>
      <w:r w:rsidRPr="005F0A67">
        <w:rPr>
          <w:rFonts w:ascii="Times New Roman" w:hAnsi="Times New Roman" w:cs="Times New Roman"/>
          <w:color w:val="auto"/>
        </w:rPr>
        <w:t>&lt;*&gt; - Примечание: объемы финансирования уточняются ежегодно при формировании бюджета муниципального образования «Чаинский район Томской области» на очередной финансовый год и на плановый период.</w:t>
      </w:r>
    </w:p>
    <w:p w:rsidR="00562D86" w:rsidRDefault="00562D86"/>
    <w:sectPr w:rsidR="00562D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5E7"/>
    <w:rsid w:val="00220F8F"/>
    <w:rsid w:val="00562D86"/>
    <w:rsid w:val="005F0A67"/>
    <w:rsid w:val="006745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7D9A74-E051-467F-9473-7F71EC0F1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220F8F"/>
    <w:pPr>
      <w:spacing w:after="0" w:line="240" w:lineRule="auto"/>
      <w:jc w:val="both"/>
    </w:pPr>
    <w:rPr>
      <w:rFonts w:ascii="Arial" w:eastAsia="Times New Roman" w:hAnsi="Arial" w:cs="Arial"/>
      <w:color w:val="0000CC"/>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220F8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12pt">
    <w:name w:val="Основной текст (2) + 12 pt"/>
    <w:rsid w:val="00220F8F"/>
    <w:rPr>
      <w:rFonts w:ascii="Times New Roman" w:eastAsia="Times New Roman" w:hAnsi="Times New Roman" w:cs="Times New Roman" w:hint="default"/>
      <w:color w:val="000000"/>
      <w:spacing w:val="0"/>
      <w:w w:val="100"/>
      <w:position w:val="0"/>
      <w:sz w:val="24"/>
      <w:szCs w:val="24"/>
      <w:shd w:val="clear" w:color="auto" w:fill="FFFFFF"/>
      <w:lang w:val="ru-RU" w:eastAsia="ru-RU" w:bidi="ru-RU"/>
    </w:rPr>
  </w:style>
  <w:style w:type="paragraph" w:styleId="a3">
    <w:name w:val="Balloon Text"/>
    <w:basedOn w:val="a"/>
    <w:link w:val="a4"/>
    <w:uiPriority w:val="99"/>
    <w:semiHidden/>
    <w:unhideWhenUsed/>
    <w:rsid w:val="005F0A67"/>
    <w:rPr>
      <w:rFonts w:ascii="Segoe UI" w:hAnsi="Segoe UI" w:cs="Segoe UI"/>
      <w:sz w:val="18"/>
      <w:szCs w:val="18"/>
    </w:rPr>
  </w:style>
  <w:style w:type="character" w:customStyle="1" w:styleId="a4">
    <w:name w:val="Текст выноски Знак"/>
    <w:basedOn w:val="a0"/>
    <w:link w:val="a3"/>
    <w:uiPriority w:val="99"/>
    <w:semiHidden/>
    <w:rsid w:val="005F0A67"/>
    <w:rPr>
      <w:rFonts w:ascii="Segoe UI" w:eastAsia="Times New Roman" w:hAnsi="Segoe UI" w:cs="Segoe UI"/>
      <w:color w:val="0000CC"/>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F4C99-C239-471F-99FC-8E8ED43DC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689</Words>
  <Characters>3933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econom3</dc:creator>
  <cp:keywords/>
  <dc:description/>
  <cp:lastModifiedBy>econom3</cp:lastModifiedBy>
  <cp:revision>5</cp:revision>
  <cp:lastPrinted>2024-11-12T05:43:00Z</cp:lastPrinted>
  <dcterms:created xsi:type="dcterms:W3CDTF">2024-10-17T04:44:00Z</dcterms:created>
  <dcterms:modified xsi:type="dcterms:W3CDTF">2024-11-12T05:43:00Z</dcterms:modified>
</cp:coreProperties>
</file>