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3BA" w:rsidRPr="00B433BA" w:rsidRDefault="00B433BA" w:rsidP="00B433BA">
      <w:pPr>
        <w:jc w:val="right"/>
        <w:rPr>
          <w:sz w:val="24"/>
          <w:szCs w:val="24"/>
        </w:rPr>
      </w:pPr>
      <w:r w:rsidRPr="00B433BA">
        <w:rPr>
          <w:sz w:val="24"/>
          <w:szCs w:val="24"/>
        </w:rPr>
        <w:t xml:space="preserve">Приложение к постановлению </w:t>
      </w:r>
    </w:p>
    <w:p w:rsidR="00B433BA" w:rsidRPr="00B433BA" w:rsidRDefault="00B433BA" w:rsidP="00B433BA">
      <w:pPr>
        <w:jc w:val="right"/>
        <w:rPr>
          <w:sz w:val="24"/>
          <w:szCs w:val="24"/>
        </w:rPr>
      </w:pPr>
      <w:r w:rsidRPr="00B433BA">
        <w:rPr>
          <w:sz w:val="24"/>
          <w:szCs w:val="24"/>
        </w:rPr>
        <w:t>Администрации Чаинского района</w:t>
      </w:r>
    </w:p>
    <w:p w:rsidR="00B433BA" w:rsidRPr="00B433BA" w:rsidRDefault="00B433BA" w:rsidP="00B433BA">
      <w:pPr>
        <w:jc w:val="right"/>
        <w:rPr>
          <w:sz w:val="24"/>
          <w:szCs w:val="24"/>
        </w:rPr>
      </w:pPr>
      <w:r w:rsidRPr="00B433BA">
        <w:rPr>
          <w:sz w:val="24"/>
          <w:szCs w:val="24"/>
        </w:rPr>
        <w:t>от 00.00.2024 № 000</w:t>
      </w:r>
    </w:p>
    <w:p w:rsidR="00B433BA" w:rsidRPr="00B433BA" w:rsidRDefault="00B433BA" w:rsidP="00B433BA">
      <w:pPr>
        <w:jc w:val="right"/>
        <w:rPr>
          <w:sz w:val="24"/>
          <w:szCs w:val="24"/>
        </w:rPr>
      </w:pPr>
    </w:p>
    <w:p w:rsidR="00B433BA" w:rsidRPr="00B433BA" w:rsidRDefault="00B433BA" w:rsidP="00B433BA">
      <w:pPr>
        <w:jc w:val="right"/>
        <w:rPr>
          <w:sz w:val="24"/>
          <w:szCs w:val="24"/>
        </w:rPr>
      </w:pPr>
      <w:r w:rsidRPr="00B433BA">
        <w:rPr>
          <w:sz w:val="24"/>
          <w:szCs w:val="24"/>
        </w:rPr>
        <w:t xml:space="preserve">Приложение к постановлению </w:t>
      </w:r>
    </w:p>
    <w:p w:rsidR="00B433BA" w:rsidRPr="00B433BA" w:rsidRDefault="00B433BA" w:rsidP="00B433BA">
      <w:pPr>
        <w:jc w:val="right"/>
        <w:rPr>
          <w:sz w:val="24"/>
          <w:szCs w:val="24"/>
        </w:rPr>
      </w:pPr>
      <w:r w:rsidRPr="00B433BA">
        <w:rPr>
          <w:sz w:val="24"/>
          <w:szCs w:val="24"/>
        </w:rPr>
        <w:t>Администрации Чаинского района</w:t>
      </w:r>
    </w:p>
    <w:p w:rsidR="00B433BA" w:rsidRPr="00B433BA" w:rsidRDefault="00B433BA" w:rsidP="00B433BA">
      <w:pPr>
        <w:jc w:val="right"/>
        <w:rPr>
          <w:sz w:val="24"/>
          <w:szCs w:val="24"/>
        </w:rPr>
      </w:pPr>
      <w:r w:rsidRPr="00B433BA">
        <w:rPr>
          <w:sz w:val="24"/>
          <w:szCs w:val="24"/>
        </w:rPr>
        <w:t>от 14.03.2024 № 161</w:t>
      </w:r>
    </w:p>
    <w:p w:rsidR="00B433BA" w:rsidRPr="00B433BA" w:rsidRDefault="00B433BA" w:rsidP="00B433BA">
      <w:pPr>
        <w:jc w:val="center"/>
        <w:rPr>
          <w:sz w:val="24"/>
          <w:szCs w:val="24"/>
        </w:rPr>
      </w:pPr>
      <w:r w:rsidRPr="00B433BA">
        <w:rPr>
          <w:sz w:val="24"/>
          <w:szCs w:val="24"/>
        </w:rPr>
        <w:t>Муниципальная программа</w:t>
      </w:r>
    </w:p>
    <w:p w:rsidR="00B433BA" w:rsidRPr="00B433BA" w:rsidRDefault="00B433BA" w:rsidP="00B433BA">
      <w:pPr>
        <w:jc w:val="center"/>
        <w:rPr>
          <w:sz w:val="24"/>
          <w:szCs w:val="24"/>
        </w:rPr>
      </w:pPr>
      <w:r w:rsidRPr="00B433BA">
        <w:rPr>
          <w:sz w:val="24"/>
          <w:szCs w:val="24"/>
        </w:rPr>
        <w:t>«Развитие инфраструктуры образования на территории Чаинского района»</w:t>
      </w:r>
    </w:p>
    <w:p w:rsidR="00B433BA" w:rsidRPr="00B433BA" w:rsidRDefault="00B433BA" w:rsidP="00B433BA">
      <w:pPr>
        <w:jc w:val="center"/>
        <w:rPr>
          <w:sz w:val="24"/>
          <w:szCs w:val="24"/>
        </w:rPr>
      </w:pPr>
    </w:p>
    <w:p w:rsidR="00B433BA" w:rsidRPr="00B433BA" w:rsidRDefault="00B433BA" w:rsidP="00B433BA">
      <w:pPr>
        <w:jc w:val="center"/>
        <w:rPr>
          <w:sz w:val="24"/>
          <w:szCs w:val="24"/>
        </w:rPr>
      </w:pPr>
      <w:r w:rsidRPr="00B433BA">
        <w:rPr>
          <w:sz w:val="24"/>
          <w:szCs w:val="24"/>
        </w:rPr>
        <w:t>Паспорт муниципальной программы</w:t>
      </w:r>
    </w:p>
    <w:tbl>
      <w:tblPr>
        <w:tblW w:w="113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4"/>
        <w:gridCol w:w="2551"/>
        <w:gridCol w:w="1346"/>
        <w:gridCol w:w="1347"/>
        <w:gridCol w:w="1346"/>
        <w:gridCol w:w="1064"/>
        <w:gridCol w:w="851"/>
        <w:gridCol w:w="851"/>
      </w:tblGrid>
      <w:tr w:rsidR="00B433BA" w:rsidRPr="00B433BA" w:rsidTr="00B433BA">
        <w:trPr>
          <w:gridAfter w:val="2"/>
          <w:wAfter w:w="1702" w:type="dxa"/>
          <w:trHeight w:val="80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 xml:space="preserve">Наименование муниципальной программы (далее – Программа)     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«Развитие инфраструктуры образования на территории Чаинского района»</w:t>
            </w:r>
          </w:p>
        </w:tc>
      </w:tr>
      <w:tr w:rsidR="00B433BA" w:rsidRPr="00B433BA" w:rsidTr="00B433BA">
        <w:trPr>
          <w:gridAfter w:val="2"/>
          <w:wAfter w:w="1702" w:type="dxa"/>
          <w:trHeight w:val="67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 принятия решений о начале разработки муниципальных программ, их формирования и реализации», от 08.06.2023 № 276 «Об утверждении Перечня муниципальных программ муниципального образования «Чаинский район Томской области» на 2024 год», 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B433BA" w:rsidRPr="00B433BA" w:rsidTr="00B433BA">
        <w:trPr>
          <w:gridAfter w:val="2"/>
          <w:wAfter w:w="1702" w:type="dxa"/>
          <w:trHeight w:val="52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Сроки (этапы)  реализации Программы 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2024 – 2026 годы</w:t>
            </w:r>
          </w:p>
        </w:tc>
      </w:tr>
      <w:tr w:rsidR="00B433BA" w:rsidRPr="00B433BA" w:rsidTr="00B433BA">
        <w:trPr>
          <w:gridAfter w:val="2"/>
          <w:wAfter w:w="1702" w:type="dxa"/>
          <w:trHeight w:val="82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Координатор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 xml:space="preserve">Заместитель Главы Чаинского района по экономике – начальник Управления финансов Администрации Чаинского района </w:t>
            </w:r>
          </w:p>
        </w:tc>
      </w:tr>
      <w:tr w:rsidR="00B433BA" w:rsidRPr="00B433BA" w:rsidTr="00B433BA">
        <w:trPr>
          <w:gridAfter w:val="2"/>
          <w:wAfter w:w="1702" w:type="dxa"/>
          <w:trHeight w:val="82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Управление образования Администрации Чаинского района (далее – Управление образования), заместитель начальника</w:t>
            </w:r>
          </w:p>
        </w:tc>
      </w:tr>
      <w:tr w:rsidR="00B433BA" w:rsidRPr="00B433BA" w:rsidTr="00B433BA">
        <w:trPr>
          <w:gridAfter w:val="2"/>
          <w:wAfter w:w="1702" w:type="dxa"/>
          <w:trHeight w:val="44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Отсутствуют </w:t>
            </w:r>
          </w:p>
        </w:tc>
      </w:tr>
      <w:tr w:rsidR="00B433BA" w:rsidRPr="00B433BA" w:rsidTr="00B433BA">
        <w:trPr>
          <w:gridAfter w:val="2"/>
          <w:wAfter w:w="1702" w:type="dxa"/>
          <w:trHeight w:val="9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автономное образовательное учреждение Чаинского района «Подгорнская средняя общеобразовательная школа» (далее – МАОУ «Подгорнская СОШ»);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«Коломиногривская средняя общеобразовательная школа» (далее – МБОУ «Коломиногривская СОШ»);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«Новоколоминская средняя общеобразовательная школа» (далее – МБОУ «Новоколоминская СОШ»;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«Усть-Бакчарская средняя общеобразовательная школа» (далее – МБОУ «Усть-Бакчарская СОШ»);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муниципальное бюджетное образовательное учреждение «Варгатёрская основная общеобразовательная школа» (далее – МБОУ «Варгатерская </w:t>
            </w:r>
            <w:r w:rsidRPr="00B433BA">
              <w:rPr>
                <w:sz w:val="24"/>
                <w:szCs w:val="24"/>
              </w:rPr>
              <w:lastRenderedPageBreak/>
              <w:t>ООШ»);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«</w:t>
            </w:r>
            <w:proofErr w:type="spellStart"/>
            <w:r w:rsidRPr="00B433BA">
              <w:rPr>
                <w:sz w:val="24"/>
                <w:szCs w:val="24"/>
              </w:rPr>
              <w:t>Гореловская</w:t>
            </w:r>
            <w:proofErr w:type="spellEnd"/>
            <w:r w:rsidRPr="00B433BA">
              <w:rPr>
                <w:sz w:val="24"/>
                <w:szCs w:val="24"/>
              </w:rPr>
              <w:t xml:space="preserve"> основная общеобразовательная школа» (далее – МБОУ «</w:t>
            </w:r>
            <w:proofErr w:type="spellStart"/>
            <w:r w:rsidRPr="00B433BA">
              <w:rPr>
                <w:sz w:val="24"/>
                <w:szCs w:val="24"/>
              </w:rPr>
              <w:t>Гореловская</w:t>
            </w:r>
            <w:proofErr w:type="spellEnd"/>
            <w:r w:rsidRPr="00B433BA">
              <w:rPr>
                <w:sz w:val="24"/>
                <w:szCs w:val="24"/>
              </w:rPr>
              <w:t xml:space="preserve"> ООШ»);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«Леботёрская основная общеобразовательная школа» (далее – МБОУ «Леботёрская ООШ);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«Нижнетигинская основная общеобразовательная школа» (далее – МБОУ «Нижнетигинская ООШ»);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муниципальное казённое образовательное учреждение «Чаинская школа-интернат» (далее – МКОУ «Чаинская школа-интернат»); 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дошкольное образовательное учреждение «</w:t>
            </w:r>
            <w:proofErr w:type="spellStart"/>
            <w:r w:rsidRPr="00B433BA">
              <w:rPr>
                <w:sz w:val="24"/>
                <w:szCs w:val="24"/>
              </w:rPr>
              <w:t>Подгорнский</w:t>
            </w:r>
            <w:proofErr w:type="spellEnd"/>
            <w:r w:rsidRPr="00B433BA">
              <w:rPr>
                <w:sz w:val="24"/>
                <w:szCs w:val="24"/>
              </w:rPr>
              <w:t xml:space="preserve"> детский сад «Берёзка» (далее – МБДОУ «</w:t>
            </w:r>
            <w:proofErr w:type="spellStart"/>
            <w:r w:rsidRPr="00B433BA">
              <w:rPr>
                <w:sz w:val="24"/>
                <w:szCs w:val="24"/>
              </w:rPr>
              <w:t>Подгорнский</w:t>
            </w:r>
            <w:proofErr w:type="spellEnd"/>
            <w:r w:rsidRPr="00B433BA">
              <w:rPr>
                <w:sz w:val="24"/>
                <w:szCs w:val="24"/>
              </w:rPr>
              <w:t xml:space="preserve"> детский сад «Берёзка»);</w:t>
            </w:r>
          </w:p>
          <w:p w:rsidR="00B433BA" w:rsidRPr="00B433BA" w:rsidRDefault="00B433BA">
            <w:pPr>
              <w:jc w:val="both"/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«Чаинская спортивная школа» (далее – МБОУ ДО «Чаинская СШ»);</w:t>
            </w:r>
          </w:p>
          <w:p w:rsidR="00B433BA" w:rsidRPr="00B433BA" w:rsidRDefault="00B433BA">
            <w:pPr>
              <w:pStyle w:val="ConsPlusCell"/>
              <w:jc w:val="both"/>
            </w:pPr>
            <w:r w:rsidRPr="00B433BA">
              <w:t>муниципальное бюджетное образовательное учреждение дополнительного образования «Чаинский Дом детского творчества» (далее – МБОУ ДО «Чаинский ДДТ»)</w:t>
            </w:r>
          </w:p>
        </w:tc>
      </w:tr>
      <w:tr w:rsidR="00B433BA" w:rsidRPr="00B433BA" w:rsidTr="00B433BA">
        <w:trPr>
          <w:gridAfter w:val="2"/>
          <w:wAfter w:w="1702" w:type="dxa"/>
          <w:trHeight w:val="70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lastRenderedPageBreak/>
              <w:t>Цель социально-экономического развития муниципального 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 xml:space="preserve">Повышение уровня и качества жизни населения на всей территории Чаинского района, накопление человеческого капитала  </w:t>
            </w:r>
          </w:p>
        </w:tc>
      </w:tr>
      <w:tr w:rsidR="00B433BA" w:rsidRPr="00B433BA" w:rsidTr="00B433BA">
        <w:trPr>
          <w:gridAfter w:val="2"/>
          <w:wAfter w:w="1702" w:type="dxa"/>
          <w:trHeight w:val="34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Создание благоприятных условий для жизни, работы, отдыха и воспитания детей на территории Чаинского района</w:t>
            </w:r>
          </w:p>
        </w:tc>
      </w:tr>
      <w:tr w:rsidR="00B433BA" w:rsidRPr="00B433BA" w:rsidTr="00B433BA">
        <w:trPr>
          <w:gridAfter w:val="2"/>
          <w:wAfter w:w="1702" w:type="dxa"/>
          <w:trHeight w:val="299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3BA">
              <w:rPr>
                <w:rFonts w:ascii="Times New Roman" w:hAnsi="Times New Roman" w:cs="Times New Roman"/>
                <w:sz w:val="24"/>
                <w:szCs w:val="24"/>
              </w:rPr>
              <w:t>1. Создание современной инфраструктуры образования</w:t>
            </w:r>
          </w:p>
          <w:p w:rsidR="00B433BA" w:rsidRPr="00B433BA" w:rsidRDefault="00B433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3BA">
              <w:rPr>
                <w:rFonts w:ascii="Times New Roman" w:hAnsi="Times New Roman" w:cs="Times New Roman"/>
                <w:sz w:val="24"/>
                <w:szCs w:val="24"/>
              </w:rPr>
              <w:t>2. Обеспечение безопасных условий функционирования образовательных организаций</w:t>
            </w:r>
          </w:p>
        </w:tc>
      </w:tr>
      <w:tr w:rsidR="00B433BA" w:rsidRPr="00B433BA" w:rsidTr="00B433BA">
        <w:trPr>
          <w:gridAfter w:val="2"/>
          <w:wAfter w:w="1702" w:type="dxa"/>
          <w:trHeight w:val="273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Показатели мероприятий задач Программы и их значения (с детализаций по годам реализации)</w:t>
            </w:r>
          </w:p>
          <w:p w:rsidR="00B433BA" w:rsidRPr="00B433BA" w:rsidRDefault="00B433BA">
            <w:pPr>
              <w:rPr>
                <w:sz w:val="24"/>
                <w:szCs w:val="24"/>
              </w:rPr>
            </w:pPr>
            <w:proofErr w:type="gramStart"/>
            <w:r w:rsidRPr="00B433BA">
              <w:rPr>
                <w:sz w:val="24"/>
                <w:szCs w:val="24"/>
              </w:rPr>
              <w:t>( в</w:t>
            </w:r>
            <w:proofErr w:type="gramEnd"/>
            <w:r w:rsidRPr="00B433BA">
              <w:rPr>
                <w:sz w:val="24"/>
                <w:szCs w:val="24"/>
              </w:rPr>
              <w:t xml:space="preserve"> редакции постановления от 03.06.2024 № 285)</w:t>
            </w:r>
          </w:p>
          <w:p w:rsidR="00B433BA" w:rsidRPr="00B433BA" w:rsidRDefault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Показатели задач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Предшествующий год реализации (2023 год)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2024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2025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15506">
            <w:pPr>
              <w:pStyle w:val="ConsPlusCell"/>
              <w:jc w:val="both"/>
            </w:pPr>
            <w:r>
              <w:t>2026 год</w:t>
            </w:r>
          </w:p>
        </w:tc>
      </w:tr>
      <w:tr w:rsidR="00B433BA" w:rsidRPr="00B433BA" w:rsidTr="00B433BA">
        <w:trPr>
          <w:gridAfter w:val="2"/>
          <w:wAfter w:w="1702" w:type="dxa"/>
          <w:trHeight w:val="1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3BA" w:rsidRPr="00B433BA" w:rsidRDefault="00B433BA" w:rsidP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Задача 1: создание современной инфраструктуры образования</w:t>
            </w:r>
          </w:p>
        </w:tc>
      </w:tr>
      <w:tr w:rsidR="00B433BA" w:rsidRPr="00B433BA" w:rsidTr="00B433BA">
        <w:trPr>
          <w:gridAfter w:val="2"/>
          <w:wAfter w:w="1702" w:type="dxa"/>
          <w:trHeight w:val="197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33BA" w:rsidRPr="00B433BA" w:rsidRDefault="00B433BA" w:rsidP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Мероприятие 1: разработка проектно-сметной документации и проведение капитальных и (или) текущих ремонтов объектов недвижимого имущества (МБОУ «Коломиногривская </w:t>
            </w:r>
            <w:r w:rsidRPr="00B433BA">
              <w:rPr>
                <w:sz w:val="24"/>
                <w:szCs w:val="24"/>
              </w:rPr>
              <w:lastRenderedPageBreak/>
              <w:t>СОШ», МБОУ «Новоколоминская СОШ», МБОУ «Варгатёрская ООШ», МБДОУ «</w:t>
            </w:r>
            <w:proofErr w:type="spellStart"/>
            <w:r w:rsidRPr="00B433BA">
              <w:rPr>
                <w:sz w:val="24"/>
                <w:szCs w:val="24"/>
              </w:rPr>
              <w:t>Подгорнский</w:t>
            </w:r>
            <w:proofErr w:type="spellEnd"/>
            <w:r w:rsidRPr="00B433BA">
              <w:rPr>
                <w:sz w:val="24"/>
                <w:szCs w:val="24"/>
              </w:rPr>
              <w:t xml:space="preserve"> детский сад «Берёзка»),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 w:rsidP="00B433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15506" w:rsidP="00B433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433BA" w:rsidRPr="00B433BA" w:rsidTr="00B433BA">
        <w:trPr>
          <w:gridAfter w:val="2"/>
          <w:wAfter w:w="1702" w:type="dxa"/>
          <w:trHeight w:val="1662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Мероприятие 2: укрепление материально-технической базы муниципальных учреждений (МАОУ «Подгорнская СОШ», МБОУ «Леботёрская ООШ», МБОУ «Новоколоминская СОШ», МБДОУ «</w:t>
            </w:r>
            <w:proofErr w:type="spellStart"/>
            <w:r w:rsidRPr="00B433BA">
              <w:rPr>
                <w:sz w:val="24"/>
                <w:szCs w:val="24"/>
              </w:rPr>
              <w:t>Подгорнский</w:t>
            </w:r>
            <w:proofErr w:type="spellEnd"/>
            <w:r w:rsidRPr="00B433BA">
              <w:rPr>
                <w:sz w:val="24"/>
                <w:szCs w:val="24"/>
              </w:rPr>
              <w:t xml:space="preserve"> детский сад «Берёзка», МБОУ «Варгатёрская ООШ», МБОУ «</w:t>
            </w:r>
            <w:proofErr w:type="spellStart"/>
            <w:r w:rsidRPr="00B433BA">
              <w:rPr>
                <w:sz w:val="24"/>
                <w:szCs w:val="24"/>
              </w:rPr>
              <w:t>Гореловская</w:t>
            </w:r>
            <w:proofErr w:type="spellEnd"/>
            <w:r w:rsidRPr="00B433BA">
              <w:rPr>
                <w:sz w:val="24"/>
                <w:szCs w:val="24"/>
              </w:rPr>
              <w:t xml:space="preserve"> ООШ», МБОУ «Коломиногривская СОШ», МБОУ «Нижнетигинская ООШ», МБОУ «Усть-Бакчарская СОШ», МБОУ ДО «Чаинская СШ», МБОУ ДО «Чаинский ДДТ»),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11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 w:rsidP="00B433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</w:tr>
      <w:tr w:rsidR="00B433BA" w:rsidRPr="00B433BA" w:rsidTr="00B433BA">
        <w:trPr>
          <w:gridAfter w:val="2"/>
          <w:wAfter w:w="1702" w:type="dxa"/>
          <w:trHeight w:val="1347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Мероприятие 3: благоустройство территории муниципальных учреждений (МБОУ «Коломиногривская СОШ», МБОУ ДО «Чаинский ДДТ»)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</w:tr>
      <w:tr w:rsidR="00B433BA" w:rsidRPr="00B433BA" w:rsidTr="00B433BA">
        <w:trPr>
          <w:gridAfter w:val="2"/>
          <w:wAfter w:w="1702" w:type="dxa"/>
          <w:trHeight w:val="570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Мероприятие 4: модернизация структурированных кабельных сетей муниципальных общеобразовательных организаций (МБОУ «Варгатёрская ООШ»),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</w:tr>
      <w:tr w:rsidR="00B433BA" w:rsidRPr="00B433BA" w:rsidTr="00B433BA">
        <w:trPr>
          <w:gridAfter w:val="2"/>
          <w:wAfter w:w="1702" w:type="dxa"/>
          <w:trHeight w:val="843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Мероприятие 5: обеспечение учебными комплектами в соответствии с </w:t>
            </w:r>
            <w:r w:rsidRPr="00B433BA">
              <w:rPr>
                <w:sz w:val="24"/>
                <w:szCs w:val="24"/>
              </w:rPr>
              <w:lastRenderedPageBreak/>
              <w:t>федеральными государственными образовательными стандартами муниципальных общеобразовательных организаций (МАОУ «Подгорнская СОШ», МБОУ «Леботёрская ООШ», МБОУ «Новоколоминская СОШ», МБОУ «Коломиногривская СОШ», МБОУ «Варгатёрская ООШ», МБОУ «Нижнетигинская ООШ», МБОУ «</w:t>
            </w:r>
            <w:proofErr w:type="spellStart"/>
            <w:r w:rsidRPr="00B433BA">
              <w:rPr>
                <w:sz w:val="24"/>
                <w:szCs w:val="24"/>
              </w:rPr>
              <w:t>Гореловская</w:t>
            </w:r>
            <w:proofErr w:type="spellEnd"/>
            <w:r w:rsidRPr="00B433BA">
              <w:rPr>
                <w:sz w:val="24"/>
                <w:szCs w:val="24"/>
              </w:rPr>
              <w:t xml:space="preserve"> ООШ», МБОУ «Усть-Бакчарская СОШ», МКОУ «Чаинская школа-интернат»),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8</w:t>
            </w:r>
          </w:p>
        </w:tc>
      </w:tr>
      <w:tr w:rsidR="00B433BA" w:rsidRPr="00B433BA" w:rsidTr="00B433BA">
        <w:trPr>
          <w:gridAfter w:val="2"/>
          <w:wAfter w:w="1702" w:type="dxa"/>
          <w:trHeight w:val="1662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Мероприятие 6: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(МАОУ «Подгорнская СОШ», МБОУ Леботёрская ООШ», МБОУ «Новоколоминская СОШ», МБОУ «Коломиногривская СОШ», МБОУ «Варгатёрская ООШ», МБОУ «</w:t>
            </w:r>
            <w:proofErr w:type="spellStart"/>
            <w:r w:rsidRPr="00B433BA">
              <w:rPr>
                <w:sz w:val="24"/>
                <w:szCs w:val="24"/>
              </w:rPr>
              <w:t>Гореловская</w:t>
            </w:r>
            <w:proofErr w:type="spellEnd"/>
            <w:r w:rsidRPr="00B433BA">
              <w:rPr>
                <w:sz w:val="24"/>
                <w:szCs w:val="24"/>
              </w:rPr>
              <w:t xml:space="preserve"> </w:t>
            </w:r>
            <w:r w:rsidRPr="00B433BA">
              <w:rPr>
                <w:sz w:val="24"/>
                <w:szCs w:val="24"/>
              </w:rPr>
              <w:lastRenderedPageBreak/>
              <w:t>ООШ»),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</w:tr>
      <w:tr w:rsidR="00B433BA" w:rsidRPr="00B433BA" w:rsidTr="00B433BA">
        <w:trPr>
          <w:gridAfter w:val="2"/>
          <w:wAfter w:w="1702" w:type="dxa"/>
          <w:trHeight w:val="1662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 xml:space="preserve">Мероприятие 7: Обеспечение </w:t>
            </w:r>
            <w:proofErr w:type="spellStart"/>
            <w:r w:rsidRPr="00B433BA">
              <w:rPr>
                <w:sz w:val="24"/>
                <w:szCs w:val="24"/>
              </w:rPr>
              <w:t>софинансирования</w:t>
            </w:r>
            <w:proofErr w:type="spellEnd"/>
            <w:r w:rsidRPr="00B433BA">
              <w:rPr>
                <w:sz w:val="24"/>
                <w:szCs w:val="24"/>
              </w:rPr>
              <w:t xml:space="preserve"> расходов на капитальный ремонт муниципальных объектов недвижимого имущества (включая разработку проектной документации) (МБОУ «Коломиногривская СОШ),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</w:tr>
      <w:tr w:rsidR="00B433BA" w:rsidRPr="00B433BA" w:rsidTr="00B433BA">
        <w:trPr>
          <w:trHeight w:val="558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Задача 2: обеспечение безопасных условий функционирования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</w:tr>
      <w:tr w:rsidR="00B433BA" w:rsidRPr="00B433BA" w:rsidTr="00B433BA">
        <w:trPr>
          <w:gridAfter w:val="2"/>
          <w:wAfter w:w="1702" w:type="dxa"/>
          <w:trHeight w:val="701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Мероприятие 1: обеспечение санитарно-эпидемиологических требований, требований пожарной безопасности и антитеррористической защиты к условиям и организации обучения в образовательных организациях (МАОУ «Подгорнская СОШ», МБОУ «Леботёрская ООШ», МБОУ «Новоколоминская СОШ», МБОУ «Коломиногривская СОШ», МБОУ «Варгатёрская ООШ», МБОУ «Нижнетигинская ООШ», МБОУ «</w:t>
            </w:r>
            <w:proofErr w:type="spellStart"/>
            <w:r w:rsidRPr="00B433BA">
              <w:rPr>
                <w:sz w:val="24"/>
                <w:szCs w:val="24"/>
              </w:rPr>
              <w:t>Гореловская</w:t>
            </w:r>
            <w:proofErr w:type="spellEnd"/>
            <w:r w:rsidRPr="00B433BA">
              <w:rPr>
                <w:sz w:val="24"/>
                <w:szCs w:val="24"/>
              </w:rPr>
              <w:t xml:space="preserve"> ООШ», МБОУ «Усть-Бакчарская СОШ», МБОУ ДО «Чаинский ДДТ», МБОУ ДО «Чаинская СШ», МБДОУ «</w:t>
            </w:r>
            <w:proofErr w:type="spellStart"/>
            <w:r w:rsidRPr="00B433BA">
              <w:rPr>
                <w:sz w:val="24"/>
                <w:szCs w:val="24"/>
              </w:rPr>
              <w:t>Подгорнский</w:t>
            </w:r>
            <w:proofErr w:type="spellEnd"/>
            <w:r w:rsidRPr="00B433BA">
              <w:rPr>
                <w:sz w:val="24"/>
                <w:szCs w:val="24"/>
              </w:rPr>
              <w:t xml:space="preserve"> детский сад «Берёзка»), ед.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1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 w:rsidP="00B433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 w:rsidP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0</w:t>
            </w:r>
          </w:p>
        </w:tc>
      </w:tr>
      <w:tr w:rsidR="00B433BA" w:rsidRPr="00B433BA" w:rsidTr="00B433BA">
        <w:trPr>
          <w:gridAfter w:val="2"/>
          <w:wAfter w:w="1702" w:type="dxa"/>
          <w:trHeight w:val="24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lastRenderedPageBreak/>
              <w:t>Объемы и источники финансирования Программы (с детализацией по годам реализации Программы) тыс. руб.</w:t>
            </w:r>
          </w:p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(в редакции постановления от 03.06.2024 № 285)</w:t>
            </w:r>
          </w:p>
          <w:p w:rsidR="00B433BA" w:rsidRPr="00B433BA" w:rsidRDefault="00B433B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 xml:space="preserve">Источники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2024 год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2025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2026 год</w:t>
            </w:r>
          </w:p>
        </w:tc>
      </w:tr>
      <w:tr w:rsidR="00B433BA" w:rsidRPr="00B433BA" w:rsidTr="00B433BA">
        <w:trPr>
          <w:gridAfter w:val="2"/>
          <w:wAfter w:w="1702" w:type="dxa"/>
          <w:trHeight w:val="25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BA" w:rsidRPr="00B433BA" w:rsidRDefault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Федеральный бюджет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429,9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429,9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-</w:t>
            </w:r>
          </w:p>
        </w:tc>
      </w:tr>
      <w:tr w:rsidR="00B433BA" w:rsidRPr="00B433BA" w:rsidTr="00B15506">
        <w:trPr>
          <w:gridAfter w:val="2"/>
          <w:wAfter w:w="1702" w:type="dxa"/>
          <w:trHeight w:val="25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BA" w:rsidRPr="00B433BA" w:rsidRDefault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 xml:space="preserve">Областной бюджет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>
            <w:pPr>
              <w:pStyle w:val="ConsPlusCell"/>
            </w:pPr>
            <w:r>
              <w:t>109236,7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104562,3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15506">
            <w:pPr>
              <w:pStyle w:val="ConsPlusCell"/>
            </w:pPr>
            <w:r>
              <w:t>1795,3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15506">
            <w:pPr>
              <w:pStyle w:val="ConsPlusCell"/>
            </w:pPr>
            <w:r>
              <w:t>2879,1</w:t>
            </w:r>
          </w:p>
        </w:tc>
      </w:tr>
      <w:tr w:rsidR="00B433BA" w:rsidRPr="00B433BA" w:rsidTr="00B433BA">
        <w:trPr>
          <w:gridAfter w:val="2"/>
          <w:wAfter w:w="1702" w:type="dxa"/>
          <w:trHeight w:val="663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BA" w:rsidRPr="00B433BA" w:rsidRDefault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Местные бюджеты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 w:rsidP="00B15506">
            <w:pPr>
              <w:pStyle w:val="ConsPlusCell"/>
            </w:pPr>
            <w:r>
              <w:t>27547,6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17385,8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>
            <w:pPr>
              <w:pStyle w:val="ConsPlusCell"/>
            </w:pPr>
            <w:r>
              <w:t>7261,8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A7123F" w:rsidP="00B15506">
            <w:pPr>
              <w:pStyle w:val="ConsPlusCell"/>
            </w:pPr>
            <w:r>
              <w:t>2,9</w:t>
            </w:r>
          </w:p>
        </w:tc>
      </w:tr>
      <w:tr w:rsidR="00B433BA" w:rsidRPr="00B433BA" w:rsidTr="00B433BA">
        <w:trPr>
          <w:gridAfter w:val="2"/>
          <w:wAfter w:w="1702" w:type="dxa"/>
          <w:trHeight w:val="43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BA" w:rsidRPr="00B433BA" w:rsidRDefault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Внебюджетные источники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-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-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-</w:t>
            </w:r>
          </w:p>
        </w:tc>
      </w:tr>
      <w:tr w:rsidR="00B433BA" w:rsidRPr="00B433BA" w:rsidTr="00B15506">
        <w:trPr>
          <w:gridAfter w:val="2"/>
          <w:wAfter w:w="1702" w:type="dxa"/>
          <w:trHeight w:val="57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3BA" w:rsidRPr="00B433BA" w:rsidRDefault="00B433BA">
            <w:pPr>
              <w:widowControl/>
              <w:tabs>
                <w:tab w:val="clear" w:pos="709"/>
              </w:tabs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</w:pPr>
            <w:r w:rsidRPr="00B433BA">
              <w:t>Всего по источникам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155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137214,2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122378,0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B15506">
            <w:pPr>
              <w:pStyle w:val="ConsPlusCell"/>
            </w:pPr>
            <w:r>
              <w:t>9057,1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3BA" w:rsidRPr="00B433BA" w:rsidRDefault="00A7123F">
            <w:pPr>
              <w:pStyle w:val="ConsPlusCell"/>
            </w:pPr>
            <w:r>
              <w:t>2882,0</w:t>
            </w:r>
            <w:bookmarkStart w:id="0" w:name="_GoBack"/>
            <w:bookmarkEnd w:id="0"/>
          </w:p>
        </w:tc>
      </w:tr>
      <w:tr w:rsidR="00B433BA" w:rsidRPr="00B433BA" w:rsidTr="00B433BA">
        <w:trPr>
          <w:gridAfter w:val="2"/>
          <w:wAfter w:w="1702" w:type="dxa"/>
          <w:trHeight w:val="276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rPr>
                <w:sz w:val="24"/>
                <w:szCs w:val="24"/>
              </w:rPr>
            </w:pPr>
            <w:r w:rsidRPr="00B433BA">
              <w:rPr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3BA" w:rsidRPr="00B433BA" w:rsidRDefault="00B433BA">
            <w:pPr>
              <w:pStyle w:val="ConsPlusCell"/>
              <w:jc w:val="both"/>
            </w:pPr>
            <w:r w:rsidRPr="00B433BA">
              <w:t>Создание современной инфраструктуры образования, обеспечение безопасных условий функционирования образовательных организаций.</w:t>
            </w:r>
          </w:p>
        </w:tc>
      </w:tr>
    </w:tbl>
    <w:p w:rsidR="00B433BA" w:rsidRPr="00B433BA" w:rsidRDefault="00B433BA" w:rsidP="00B433BA">
      <w:pPr>
        <w:jc w:val="both"/>
        <w:rPr>
          <w:sz w:val="24"/>
          <w:szCs w:val="24"/>
        </w:rPr>
      </w:pPr>
      <w:r w:rsidRPr="00B433BA">
        <w:rPr>
          <w:sz w:val="24"/>
          <w:szCs w:val="24"/>
        </w:rPr>
        <w:t>* Примечание. Объёмы финансирования уточняются ежегодно при формировании бюджета муниципального образования «Чаинский район Томской области» и бюджета Томской области на очередной финансовый год.</w:t>
      </w:r>
    </w:p>
    <w:p w:rsidR="00FD7E27" w:rsidRPr="00B433BA" w:rsidRDefault="00FD7E27">
      <w:pPr>
        <w:rPr>
          <w:sz w:val="24"/>
          <w:szCs w:val="24"/>
        </w:rPr>
      </w:pPr>
    </w:p>
    <w:sectPr w:rsidR="00FD7E27" w:rsidRPr="00B43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58D"/>
    <w:rsid w:val="0017758D"/>
    <w:rsid w:val="00A7123F"/>
    <w:rsid w:val="00B15506"/>
    <w:rsid w:val="00B433BA"/>
    <w:rsid w:val="00FD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18B42"/>
  <w15:chartTrackingRefBased/>
  <w15:docId w15:val="{6F48053C-F7C1-422E-A0FD-327E4CD6F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B433BA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33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433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550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55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5</cp:revision>
  <cp:lastPrinted>2024-11-12T10:12:00Z</cp:lastPrinted>
  <dcterms:created xsi:type="dcterms:W3CDTF">2024-10-17T04:26:00Z</dcterms:created>
  <dcterms:modified xsi:type="dcterms:W3CDTF">2024-11-12T10:16:00Z</dcterms:modified>
</cp:coreProperties>
</file>