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607A" w:rsidRDefault="00E3607A" w:rsidP="006D5EED"/>
    <w:p w:rsidR="00E3607A" w:rsidRDefault="00E3607A" w:rsidP="006D5EED">
      <w:r>
        <w:t>Муниципальная программа</w:t>
      </w:r>
    </w:p>
    <w:p w:rsidR="00E3607A" w:rsidRDefault="00E3607A" w:rsidP="006D5EED">
      <w:r>
        <w:t>«Организация предоставления дошкольного образования</w:t>
      </w:r>
    </w:p>
    <w:p w:rsidR="00E3607A" w:rsidRDefault="00E3607A" w:rsidP="006D5EED">
      <w:r>
        <w:t xml:space="preserve">на территории Чаинского района» </w:t>
      </w:r>
    </w:p>
    <w:p w:rsidR="00E3607A" w:rsidRDefault="00E3607A" w:rsidP="006D5EED"/>
    <w:p w:rsidR="00E3607A" w:rsidRDefault="00E3607A" w:rsidP="006D5EED">
      <w:r>
        <w:t>Паспорт муниципальной программы</w:t>
      </w:r>
    </w:p>
    <w:p w:rsidR="00E3607A" w:rsidRDefault="00E3607A" w:rsidP="006D5EED"/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1"/>
        <w:gridCol w:w="2017"/>
        <w:gridCol w:w="1347"/>
        <w:gridCol w:w="1348"/>
        <w:gridCol w:w="1347"/>
        <w:gridCol w:w="1065"/>
      </w:tblGrid>
      <w:tr w:rsidR="00E3607A" w:rsidTr="00E3607A">
        <w:trPr>
          <w:trHeight w:val="800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 xml:space="preserve">Наименование муниципальной программы (далее – Программа)    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«Организация предоставления дошкольного образования на территории Чаинского района»</w:t>
            </w:r>
          </w:p>
        </w:tc>
      </w:tr>
      <w:tr w:rsidR="00E3607A" w:rsidTr="00E3607A">
        <w:trPr>
          <w:trHeight w:val="67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Основание для разработки муниципальной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 принятия решений о начале разработки муниципальных программ, их формирования и реализации», от 08.06.2023 № 276 «Об утверждении Перечня муниципальных программ муниципального образования «Чаинский район Томской области» на 2024 год», 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E3607A" w:rsidTr="00E3607A">
        <w:trPr>
          <w:trHeight w:val="52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 xml:space="preserve">Сроки (этапы)  реализации Программы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2024 – 2026 годы</w:t>
            </w:r>
          </w:p>
        </w:tc>
      </w:tr>
      <w:tr w:rsidR="00E3607A" w:rsidTr="00E3607A">
        <w:trPr>
          <w:trHeight w:val="82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Координатор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Заместитель Главы Чаинского района по экономике – начальник Управления финансов Администрации Чаинского района</w:t>
            </w:r>
          </w:p>
        </w:tc>
      </w:tr>
      <w:tr w:rsidR="00E3607A" w:rsidTr="00E3607A">
        <w:trPr>
          <w:trHeight w:val="82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Ответственный исполнитель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Управление образования Администрации Чаинского района (далее – Управление образования), заместитель начальника</w:t>
            </w:r>
          </w:p>
        </w:tc>
      </w:tr>
      <w:tr w:rsidR="00E3607A" w:rsidTr="00E3607A">
        <w:trPr>
          <w:trHeight w:val="449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 xml:space="preserve">Соисполнители Программы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Отсутствует</w:t>
            </w:r>
          </w:p>
        </w:tc>
      </w:tr>
      <w:tr w:rsidR="00E3607A" w:rsidTr="00E3607A">
        <w:trPr>
          <w:trHeight w:val="91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Участники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Муниципальное бюджетное дошкольное образовательное учреждение «</w:t>
            </w:r>
            <w:proofErr w:type="spellStart"/>
            <w:r>
              <w:t>Подгорнский</w:t>
            </w:r>
            <w:proofErr w:type="spellEnd"/>
            <w:r>
              <w:t xml:space="preserve"> детский сад «Берёзка» (далее – МБДОУ «</w:t>
            </w:r>
            <w:proofErr w:type="spellStart"/>
            <w:r>
              <w:t>Подгорнский</w:t>
            </w:r>
            <w:proofErr w:type="spellEnd"/>
            <w:r>
              <w:t xml:space="preserve"> детский сад «Берёзка»)</w:t>
            </w:r>
          </w:p>
        </w:tc>
      </w:tr>
      <w:tr w:rsidR="00E3607A" w:rsidTr="00E3607A">
        <w:trPr>
          <w:trHeight w:val="706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Повышение уровня и качества жизни населения на всей территории Чаинского района,  накопление человеческого капитала</w:t>
            </w:r>
          </w:p>
        </w:tc>
      </w:tr>
      <w:tr w:rsidR="00E3607A" w:rsidTr="00E3607A">
        <w:trPr>
          <w:trHeight w:val="34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Цель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Обеспечение достойного уровня жизни населения Чаинского района, создание условий для обеспечения государственных гарантий реализации прав на получение  общедоступного и бесплатного дошкольного образования</w:t>
            </w:r>
          </w:p>
        </w:tc>
      </w:tr>
      <w:tr w:rsidR="00E3607A" w:rsidTr="00E3607A">
        <w:trPr>
          <w:trHeight w:val="299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br w:type="page"/>
              <w:t>Задачи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411325" w:rsidRDefault="00E3607A" w:rsidP="00E360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государственных гарантий реализации прав на получение общедоступного, бесплатного и качественного </w:t>
            </w:r>
            <w:r w:rsidRPr="00411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дошкольного образования</w:t>
            </w:r>
          </w:p>
          <w:p w:rsidR="00E3607A" w:rsidRPr="00411325" w:rsidRDefault="00E3607A" w:rsidP="00E360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>2.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  <w:p w:rsidR="00E3607A" w:rsidRPr="00411325" w:rsidRDefault="00E3607A" w:rsidP="00E360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>3. Возмещение расходов за присмотр и уход за ребенком, осваивающим основную общеобразовательную программу дошкольного образования</w:t>
            </w:r>
          </w:p>
          <w:p w:rsidR="00E3607A" w:rsidRPr="00411325" w:rsidRDefault="00E3607A" w:rsidP="00E360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>4.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  <w:p w:rsidR="00E3607A" w:rsidRPr="00411325" w:rsidRDefault="00E3607A" w:rsidP="00E3607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>5.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  <w:p w:rsidR="00E3607A" w:rsidRDefault="00E3607A" w:rsidP="00E3607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411325">
              <w:rPr>
                <w:rFonts w:ascii="Times New Roman" w:hAnsi="Times New Roman" w:cs="Times New Roman"/>
                <w:sz w:val="24"/>
                <w:szCs w:val="24"/>
              </w:rPr>
              <w:t>6. Д</w:t>
            </w:r>
            <w:r w:rsidRPr="0041132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E3607A" w:rsidTr="00E3607A">
        <w:trPr>
          <w:trHeight w:val="273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607A" w:rsidRDefault="00E3607A" w:rsidP="006D5EED">
            <w:r>
              <w:lastRenderedPageBreak/>
              <w:t>Показатели мероприятий задач Программы и их значения (с детализаций по годам реализации)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Показатели задач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Предшествующий год реализации (2023 год)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2025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2026 год</w:t>
            </w:r>
          </w:p>
        </w:tc>
      </w:tr>
      <w:tr w:rsidR="00E3607A" w:rsidTr="00E3607A">
        <w:trPr>
          <w:trHeight w:val="160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государственных гарантий реализации прав на получение общедоступного, бесплатного и качественного дошкольного образования 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pPr>
              <w:rPr>
                <w:u w:val="single"/>
              </w:rPr>
            </w:pPr>
            <w:r>
              <w:rPr>
                <w:u w:val="single"/>
              </w:rPr>
              <w:t xml:space="preserve">Мероприятие 1: </w:t>
            </w:r>
            <w:r>
              <w:t>реализация основных общеобразовательных программ – образовательных программ дошкольного образования,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35,76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34,90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34,90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34,90</w:t>
            </w:r>
          </w:p>
        </w:tc>
      </w:tr>
      <w:tr w:rsidR="00E3607A" w:rsidTr="00E3607A">
        <w:trPr>
          <w:trHeight w:val="246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2: 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</w:tr>
      <w:tr w:rsidR="00E3607A" w:rsidTr="00E3607A">
        <w:trPr>
          <w:trHeight w:val="701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rPr>
                <w:u w:val="single"/>
              </w:rPr>
              <w:t>Мероприятие 1:</w:t>
            </w:r>
            <w:r>
              <w:t xml:space="preserve"> обеспечение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E3607A" w:rsidTr="00E3607A">
        <w:trPr>
          <w:trHeight w:val="75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Задача 3: Возмещение расходов за присмотр и уход за ребенком, осваивающим основную общеобразовательную программу дошкольного образования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rPr>
                <w:u w:val="single"/>
              </w:rPr>
              <w:t>Мероприятие 1:</w:t>
            </w:r>
            <w:r>
              <w:t xml:space="preserve"> возмещение за присмотр и уход за ребенком, осваивающим основную общеобразовательную программу дошкольного образования, отдельным категориям воспитанников, чел.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0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rPr>
                <w:u w:val="single"/>
              </w:rPr>
              <w:t>Мероприятие 2:</w:t>
            </w:r>
            <w:r>
              <w:t xml:space="preserve"> возмещение за присмотр и уход за ребенком, осваивающим основную общеобразовательную программу дошкольного образования, детям из семей мобилизованных граждан на период мобилизации одного из родителей, чел.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6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12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0</w:t>
            </w:r>
          </w:p>
        </w:tc>
      </w:tr>
      <w:tr w:rsidR="00E3607A" w:rsidTr="00E3607A">
        <w:trPr>
          <w:trHeight w:val="131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Задача 4: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E3607A" w:rsidTr="00E3607A">
        <w:trPr>
          <w:trHeight w:val="98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rPr>
                <w:u w:val="single"/>
              </w:rPr>
              <w:t>Мероприятие 1:</w:t>
            </w:r>
            <w:r>
              <w:t xml:space="preserve">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</w:t>
            </w:r>
            <w:r>
              <w:lastRenderedPageBreak/>
              <w:t>программам, бесплатным двухразовым питанием,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lastRenderedPageBreak/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100</w:t>
            </w:r>
          </w:p>
        </w:tc>
      </w:tr>
      <w:tr w:rsidR="00E3607A" w:rsidTr="00E3607A">
        <w:trPr>
          <w:trHeight w:val="1381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Задача 5: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rPr>
                <w:u w:val="single"/>
              </w:rPr>
              <w:t>Мероприятие 1:</w:t>
            </w:r>
            <w:r>
              <w:t xml:space="preserve"> выплата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>
            <w:pPr>
              <w:pStyle w:val="ConsPlusCell"/>
              <w:jc w:val="both"/>
            </w:pPr>
            <w:r>
              <w:t>0</w:t>
            </w:r>
          </w:p>
        </w:tc>
      </w:tr>
      <w:tr w:rsidR="00E3607A" w:rsidTr="00E3607A">
        <w:trPr>
          <w:trHeight w:val="1519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Default="00E3607A">
            <w:pPr>
              <w:pStyle w:val="ConsPlusCell"/>
              <w:jc w:val="both"/>
            </w:pPr>
            <w:r w:rsidRPr="00411325">
              <w:t>Задача 6: Достижение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rPr>
                <w:u w:val="single"/>
              </w:rPr>
              <w:t>Мероприятие 1:</w:t>
            </w:r>
            <w:r w:rsidRPr="00411325">
              <w:t xml:space="preserve"> Достижение установленного уровня средней заработной платы педагогических работников муниципальных дошкольных образовательных организаций без учета внешних совместителей, руб.;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60861,2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65835,9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0</w:t>
            </w:r>
          </w:p>
        </w:tc>
      </w:tr>
      <w:tr w:rsidR="00E3607A" w:rsidTr="00E3607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rPr>
                <w:u w:val="single"/>
              </w:rPr>
              <w:t>Мероприятие 2:</w:t>
            </w:r>
            <w:r w:rsidRPr="00411325">
              <w:t xml:space="preserve"> Достижение планового значения среднесписочной численности педагогических работников муниципальных дошкольных образовательных организаций без учета внешних совместителей,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18,0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18,0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0</w:t>
            </w:r>
          </w:p>
        </w:tc>
      </w:tr>
      <w:tr w:rsidR="00E3607A" w:rsidTr="00E3607A">
        <w:trPr>
          <w:trHeight w:val="246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 xml:space="preserve">Объемы и источники финансирования Программы (с детализацией по годам реализации Программы)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 xml:space="preserve">Источники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2025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2026 год</w:t>
            </w:r>
          </w:p>
        </w:tc>
      </w:tr>
      <w:tr w:rsidR="00E3607A" w:rsidTr="00E3607A">
        <w:trPr>
          <w:trHeight w:val="25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-</w:t>
            </w:r>
          </w:p>
        </w:tc>
      </w:tr>
      <w:tr w:rsidR="00E3607A" w:rsidTr="00E3607A">
        <w:trPr>
          <w:trHeight w:val="25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7A" w:rsidRDefault="00E3607A" w:rsidP="006D5EED">
            <w:bookmarkStart w:id="0" w:name="_GoBack" w:colFirst="2" w:colLast="2"/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 xml:space="preserve">Областной бюджет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87053,0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30964,0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28044,5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28044,5</w:t>
            </w:r>
          </w:p>
        </w:tc>
      </w:tr>
      <w:tr w:rsidR="00E3607A" w:rsidTr="00E3607A">
        <w:trPr>
          <w:trHeight w:val="663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Местные бюджеты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52573,7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17216,7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19808,1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6D5EED" w:rsidP="00E3607A">
            <w:pPr>
              <w:pStyle w:val="ConsPlusCell"/>
              <w:jc w:val="both"/>
            </w:pPr>
            <w:r w:rsidRPr="006D5EED">
              <w:t>15548,9</w:t>
            </w:r>
          </w:p>
        </w:tc>
      </w:tr>
      <w:tr w:rsidR="00E3607A" w:rsidTr="00E3607A">
        <w:trPr>
          <w:trHeight w:val="43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E3607A">
            <w:pPr>
              <w:pStyle w:val="ConsPlusCell"/>
              <w:jc w:val="both"/>
            </w:pPr>
            <w:r w:rsidRPr="006D5EED">
              <w:t>-</w:t>
            </w:r>
          </w:p>
        </w:tc>
      </w:tr>
      <w:bookmarkEnd w:id="0"/>
      <w:tr w:rsidR="00E3607A" w:rsidTr="006D5EED">
        <w:trPr>
          <w:trHeight w:val="578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7A" w:rsidRDefault="00E3607A" w:rsidP="006D5EED"/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Всего по источникам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E3607A" w:rsidRDefault="006D5EED" w:rsidP="006D5EED">
            <w:r>
              <w:t>139626,7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Pr="006D5EED" w:rsidRDefault="00E3607A" w:rsidP="006D5EED">
            <w:r w:rsidRPr="006D5EED">
              <w:t>48180,7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E3607A" w:rsidRDefault="006D5EED" w:rsidP="006D5EED">
            <w:r>
              <w:t>47852,6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7A" w:rsidRPr="00E3607A" w:rsidRDefault="006D5EED" w:rsidP="006D5EED">
            <w:r>
              <w:t>43593,4</w:t>
            </w:r>
          </w:p>
        </w:tc>
      </w:tr>
      <w:tr w:rsidR="00E3607A" w:rsidTr="00E3607A">
        <w:trPr>
          <w:trHeight w:val="276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6D5EED">
            <w:r>
              <w:t>Конечные результаты реализации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07A" w:rsidRDefault="00E3607A" w:rsidP="00E3607A">
            <w:pPr>
              <w:pStyle w:val="ConsPlusCell"/>
              <w:jc w:val="both"/>
            </w:pPr>
            <w:r>
              <w:t>За период реализации Программы: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>- охват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должен составить – 34,9%;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>- 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 должна составить – 6,04%;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>- отсутствие просроченной кредиторской задолженности по выплате заработной платы – 100%;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>- за 5 чел. воспитанников льготной категории, за которых производится возмещение расходов за присмотр и уход за ребенком;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 xml:space="preserve">- за 12 </w:t>
            </w:r>
            <w:proofErr w:type="gramStart"/>
            <w:r>
              <w:t>чел</w:t>
            </w:r>
            <w:proofErr w:type="gramEnd"/>
            <w:r>
              <w:t xml:space="preserve"> воспитанников из семей мобилизованных граждан, за которых производится возмещение расходов за присмотр и уход за ребенком;</w:t>
            </w:r>
          </w:p>
          <w:p w:rsidR="00E3607A" w:rsidRDefault="00E3607A" w:rsidP="00E3607A">
            <w:pPr>
              <w:pStyle w:val="ConsPlusCell"/>
              <w:jc w:val="both"/>
            </w:pPr>
            <w:r>
              <w:t>- 100%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обеспеченны бесплатным двухразовым питанием;</w:t>
            </w:r>
          </w:p>
          <w:p w:rsidR="00E3607A" w:rsidRPr="00411325" w:rsidRDefault="00E3607A" w:rsidP="00E3607A">
            <w:pPr>
              <w:pStyle w:val="ConsPlusCell"/>
              <w:jc w:val="both"/>
            </w:pPr>
            <w:r w:rsidRPr="00411325">
              <w:t>- обеспечение 100 % установленного уровня средней заработной платы педагогических работников муниципальных дошкольных образовательных организаций без учета внешних совместителей;</w:t>
            </w:r>
          </w:p>
          <w:p w:rsidR="00E3607A" w:rsidRDefault="00E3607A" w:rsidP="00E3607A">
            <w:pPr>
              <w:pStyle w:val="ConsPlusCell"/>
              <w:jc w:val="both"/>
            </w:pPr>
            <w:r w:rsidRPr="00411325">
              <w:t xml:space="preserve">- обеспечение среднесписочной численности педагогических </w:t>
            </w:r>
            <w:r w:rsidRPr="00411325">
              <w:lastRenderedPageBreak/>
              <w:t>работников муниципальных дошкольных образовательных организаций без учета внешних совместителей – 18,0 чел.</w:t>
            </w:r>
          </w:p>
        </w:tc>
      </w:tr>
    </w:tbl>
    <w:p w:rsidR="00912C7D" w:rsidRDefault="00912C7D" w:rsidP="006D5EED"/>
    <w:sectPr w:rsidR="00912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169"/>
    <w:rsid w:val="006D5EED"/>
    <w:rsid w:val="00912C7D"/>
    <w:rsid w:val="009A3169"/>
    <w:rsid w:val="00E3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9747"/>
  <w15:chartTrackingRefBased/>
  <w15:docId w15:val="{8D5D64FE-C10F-4E23-8C37-72993F588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6D5E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E360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360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E360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E3607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3607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1350</Words>
  <Characters>7697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4</cp:revision>
  <cp:lastPrinted>2024-11-12T05:32:00Z</cp:lastPrinted>
  <dcterms:created xsi:type="dcterms:W3CDTF">2024-10-17T03:59:00Z</dcterms:created>
  <dcterms:modified xsi:type="dcterms:W3CDTF">2024-11-12T05:32:00Z</dcterms:modified>
</cp:coreProperties>
</file>