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B0" w:rsidRPr="00687223" w:rsidRDefault="00C164B0" w:rsidP="00C164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687223">
        <w:rPr>
          <w:rFonts w:ascii="Times New Roman" w:hAnsi="Times New Roman" w:cs="Times New Roman"/>
          <w:b w:val="0"/>
          <w:sz w:val="22"/>
          <w:szCs w:val="22"/>
        </w:rPr>
        <w:t xml:space="preserve">ПАСПОРТ МУНИЦИПАЛЬНОЙ ПРОГРАММЫ </w:t>
      </w:r>
    </w:p>
    <w:p w:rsidR="00C164B0" w:rsidRPr="00687223" w:rsidRDefault="00C164B0" w:rsidP="00335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87223">
        <w:rPr>
          <w:rFonts w:ascii="Times New Roman" w:hAnsi="Times New Roman" w:cs="Times New Roman"/>
        </w:rPr>
        <w:t>«</w:t>
      </w:r>
      <w:r w:rsidR="003358E7" w:rsidRPr="00687223">
        <w:rPr>
          <w:rFonts w:ascii="Times New Roman" w:hAnsi="Times New Roman" w:cs="Times New Roman"/>
        </w:rPr>
        <w:t>Организация деятельности муниципального бюджетного учреждения «Централизованная бухгалтерия образовательных учреждений Чаинского района</w:t>
      </w:r>
      <w:r w:rsidRPr="00687223">
        <w:rPr>
          <w:rFonts w:ascii="Times New Roman" w:hAnsi="Times New Roman" w:cs="Times New Roman"/>
        </w:rPr>
        <w:t>»</w:t>
      </w:r>
    </w:p>
    <w:p w:rsidR="003358E7" w:rsidRPr="00687223" w:rsidRDefault="003358E7" w:rsidP="00335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256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654"/>
        <w:gridCol w:w="667"/>
        <w:gridCol w:w="1223"/>
        <w:gridCol w:w="1654"/>
        <w:gridCol w:w="47"/>
        <w:gridCol w:w="1560"/>
        <w:gridCol w:w="47"/>
        <w:gridCol w:w="1654"/>
        <w:gridCol w:w="1654"/>
        <w:gridCol w:w="96"/>
      </w:tblGrid>
      <w:tr w:rsidR="00C164B0" w:rsidRPr="00687223" w:rsidTr="007F24FA">
        <w:trPr>
          <w:gridAfter w:val="1"/>
          <w:wAfter w:w="96" w:type="dxa"/>
          <w:trHeight w:val="1068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Наименование муниципальной программы (далее – Программа)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«</w:t>
            </w:r>
            <w:r w:rsidR="003358E7" w:rsidRPr="00687223">
              <w:rPr>
                <w:rFonts w:ascii="Times New Roman" w:hAnsi="Times New Roman" w:cs="Times New Roman"/>
              </w:rPr>
              <w:t>Организация деятельности муниципального бюджетного учреждения «Централизованная бухгалтерия образовательных учреждений Чаинского района</w:t>
            </w:r>
            <w:r w:rsidRPr="00687223">
              <w:rPr>
                <w:rFonts w:ascii="Times New Roman" w:hAnsi="Times New Roman" w:cs="Times New Roman"/>
              </w:rPr>
              <w:t>»</w:t>
            </w:r>
          </w:p>
        </w:tc>
      </w:tr>
      <w:tr w:rsidR="00C164B0" w:rsidRPr="00687223" w:rsidTr="007F24FA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 xml:space="preserve">Основание для разработки муниципальной программы </w:t>
            </w:r>
          </w:p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335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Постановление Администрации Чаинского района от 30.05.2017 №191 «Об утверждении перечня муниципальных программ муниципального образования «Чаинский район Томской области»</w:t>
            </w:r>
          </w:p>
        </w:tc>
      </w:tr>
      <w:tr w:rsidR="00C164B0" w:rsidRPr="00687223" w:rsidTr="007F24FA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Сроки (этапы) реализации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 w:rsidP="003358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202</w:t>
            </w:r>
            <w:r w:rsidR="003358E7" w:rsidRPr="00687223">
              <w:rPr>
                <w:rFonts w:ascii="Times New Roman" w:hAnsi="Times New Roman" w:cs="Times New Roman"/>
              </w:rPr>
              <w:t>4</w:t>
            </w:r>
            <w:r w:rsidRPr="00687223">
              <w:rPr>
                <w:rFonts w:ascii="Times New Roman" w:hAnsi="Times New Roman" w:cs="Times New Roman"/>
              </w:rPr>
              <w:t>-202</w:t>
            </w:r>
            <w:r w:rsidR="003358E7" w:rsidRPr="00687223">
              <w:rPr>
                <w:rFonts w:ascii="Times New Roman" w:hAnsi="Times New Roman" w:cs="Times New Roman"/>
              </w:rPr>
              <w:t>6</w:t>
            </w:r>
            <w:r w:rsidRPr="00687223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C164B0" w:rsidRPr="00687223" w:rsidTr="007F24FA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Координатор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Заместитель Главы Чаинского района по социально- экономическим вопросам</w:t>
            </w:r>
          </w:p>
        </w:tc>
      </w:tr>
      <w:tr w:rsidR="00C164B0" w:rsidRPr="00687223" w:rsidTr="007F24FA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3358E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Управление образования Администрации Чаинского района (далее – Управление образования)</w:t>
            </w:r>
          </w:p>
        </w:tc>
      </w:tr>
      <w:tr w:rsidR="00C164B0" w:rsidRPr="00687223" w:rsidTr="007F24FA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-</w:t>
            </w:r>
          </w:p>
        </w:tc>
      </w:tr>
      <w:tr w:rsidR="00C164B0" w:rsidRPr="00687223" w:rsidTr="007F24FA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2C7B78" w:rsidRPr="00687223" w:rsidRDefault="002C7B78" w:rsidP="002C7B78">
            <w:pPr>
              <w:spacing w:after="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Муниципальному бюджетному образовательному учреждению дополнительного образования «Чаинский Дом детского творчества»;</w:t>
            </w:r>
          </w:p>
          <w:p w:rsidR="002C7B78" w:rsidRPr="00687223" w:rsidRDefault="002C7B78" w:rsidP="002C7B78">
            <w:pPr>
              <w:spacing w:after="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Муниципальному бюджетному образовательному учреждению дополнительного образования «Чаинская детско-юношеская спортивная школа»;</w:t>
            </w:r>
          </w:p>
          <w:p w:rsidR="002C7B78" w:rsidRPr="00687223" w:rsidRDefault="002C7B78" w:rsidP="002C7B78">
            <w:pPr>
              <w:spacing w:after="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Муниципальному бюджетному общеобразовательному учреждению «Коломиногривская средняя общеобразовательная школа»;</w:t>
            </w:r>
          </w:p>
          <w:p w:rsidR="002C7B78" w:rsidRPr="00687223" w:rsidRDefault="002C7B78" w:rsidP="002C7B78">
            <w:pPr>
              <w:spacing w:after="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Муниципальному бюджетному общеобразовательному учреждению «Леботерская основная общеобразовательная школа»;</w:t>
            </w:r>
          </w:p>
          <w:p w:rsidR="002C7B78" w:rsidRPr="00687223" w:rsidRDefault="002C7B78" w:rsidP="002C7B78">
            <w:pPr>
              <w:spacing w:after="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Муниципальному бюджетному общеобразовательному учреждению «Новоколоминская средняя общеобразовательная школа»;</w:t>
            </w:r>
          </w:p>
          <w:p w:rsidR="002C7B78" w:rsidRPr="00687223" w:rsidRDefault="002C7B78" w:rsidP="002C7B78">
            <w:pPr>
              <w:spacing w:after="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Управлению образования Администрации Чаинского района.</w:t>
            </w:r>
          </w:p>
          <w:p w:rsidR="00C164B0" w:rsidRPr="00687223" w:rsidRDefault="00C164B0" w:rsidP="002C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64B0" w:rsidRPr="00687223" w:rsidTr="007F24FA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Цель социально-экономического развития муниципального образования «Чаинский район</w:t>
            </w:r>
            <w:r w:rsidR="002C7B78" w:rsidRPr="00687223">
              <w:rPr>
                <w:rFonts w:ascii="Times New Roman" w:hAnsi="Times New Roman" w:cs="Times New Roman"/>
              </w:rPr>
              <w:t xml:space="preserve"> Томской области</w:t>
            </w:r>
            <w:r w:rsidRPr="00687223">
              <w:rPr>
                <w:rFonts w:ascii="Times New Roman" w:hAnsi="Times New Roman" w:cs="Times New Roman"/>
              </w:rPr>
              <w:t>», на реализацию которой направлена Программа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2C7B7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Повышение уровня и качества жизни населения на всей территории Чаинского района, накопление человеческого потенциала.</w:t>
            </w:r>
          </w:p>
        </w:tc>
      </w:tr>
      <w:tr w:rsidR="00C164B0" w:rsidRPr="00687223" w:rsidTr="007F24FA">
        <w:trPr>
          <w:gridAfter w:val="1"/>
          <w:wAfter w:w="96" w:type="dxa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Цель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2C7B7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 xml:space="preserve">Обеспечение достойного уровня жизни населения Чаинского района, </w:t>
            </w:r>
            <w:r w:rsidRPr="00687223">
              <w:rPr>
                <w:rFonts w:ascii="Times New Roman" w:hAnsi="Times New Roman" w:cs="Times New Roman"/>
              </w:rPr>
              <w:lastRenderedPageBreak/>
              <w:t>совершенствование консультативно-методологической помощи, бухгалтерского и статистического  учета</w:t>
            </w:r>
          </w:p>
        </w:tc>
      </w:tr>
      <w:tr w:rsidR="00C164B0" w:rsidRPr="00687223" w:rsidTr="007F24FA">
        <w:trPr>
          <w:gridAfter w:val="1"/>
          <w:wAfter w:w="96" w:type="dxa"/>
          <w:trHeight w:val="642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lastRenderedPageBreak/>
              <w:t>Задачи Программы</w:t>
            </w:r>
          </w:p>
        </w:tc>
        <w:tc>
          <w:tcPr>
            <w:tcW w:w="7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2C7B78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Ведение бухгалтерского учета, представление бухгалтерской и статистической отчетности, предоставление консультативной и методологической помощи муниципальным учреждениям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Показатели задач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Предшествующий год реализации</w:t>
            </w:r>
          </w:p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(2023)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7F24FA" w:rsidRPr="00687223" w:rsidRDefault="007F24FA" w:rsidP="007F24F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Задача 1</w:t>
            </w: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. Ведение бухгалтерского учета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</w:t>
            </w:r>
          </w:p>
          <w:p w:rsidR="007F24FA" w:rsidRPr="00687223" w:rsidRDefault="007F24FA" w:rsidP="007F24FA">
            <w:pPr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регистрах.</w:t>
            </w:r>
          </w:p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2.</w:t>
            </w: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3.</w:t>
            </w:r>
          </w:p>
          <w:p w:rsidR="007F24FA" w:rsidRPr="00687223" w:rsidRDefault="007F24FA" w:rsidP="007F24FA">
            <w:pPr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 xml:space="preserve">Обеспечение </w:t>
            </w:r>
            <w:r w:rsidRPr="00687223">
              <w:rPr>
                <w:rFonts w:ascii="Times New Roman" w:hAnsi="Times New Roman" w:cs="Times New Roman"/>
              </w:rPr>
              <w:lastRenderedPageBreak/>
              <w:t>качественного выполнения обязательств по своевременной выплате заработной платы работникам обслуживаемых учреждений и других обязательств.</w:t>
            </w:r>
          </w:p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Задача 2</w:t>
            </w: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. Представление бухгалтерской и статистической отчетности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</w:t>
            </w:r>
          </w:p>
          <w:p w:rsidR="007F24FA" w:rsidRPr="00687223" w:rsidRDefault="007F24FA" w:rsidP="007F24FA">
            <w:pPr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Обеспечение качественного составления и предоставления  бухгалтерской отчетности в налоговые органы, внебюджетные фонды, органы статистики.</w:t>
            </w:r>
          </w:p>
          <w:p w:rsidR="007F24FA" w:rsidRPr="00687223" w:rsidRDefault="007F24FA" w:rsidP="007F24FA">
            <w:pPr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.</w:t>
            </w:r>
          </w:p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Задача 3.</w:t>
            </w: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 xml:space="preserve"> Предоставление консультативной и методологической помощи муниципальным учреждениям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</w:t>
            </w:r>
          </w:p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Обеспечение качественной разработки документов правового характера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F24FA" w:rsidRPr="00687223" w:rsidTr="007F24FA">
        <w:trPr>
          <w:gridAfter w:val="1"/>
          <w:wAfter w:w="96" w:type="dxa"/>
          <w:trHeight w:val="180"/>
        </w:trPr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2.</w:t>
            </w:r>
          </w:p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качественного оказания руководителям и работникам в подведомственных муниципальных </w:t>
            </w:r>
            <w:r w:rsidRPr="006872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образовательных организациях консультационных услуг по юридическим вопросам</w:t>
            </w:r>
          </w:p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F24FA" w:rsidRPr="00687223" w:rsidTr="007F24FA">
        <w:trPr>
          <w:gridAfter w:val="1"/>
          <w:wAfter w:w="96" w:type="dxa"/>
          <w:trHeight w:val="729"/>
        </w:trPr>
        <w:tc>
          <w:tcPr>
            <w:tcW w:w="165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 w:rsidP="00CF2735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Программы (с детализацией по годам реализации* Программы) руб.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</w:tr>
      <w:tr w:rsidR="007F24FA" w:rsidRPr="00687223" w:rsidTr="007F24FA">
        <w:trPr>
          <w:gridAfter w:val="1"/>
          <w:wAfter w:w="96" w:type="dxa"/>
          <w:trHeight w:val="726"/>
        </w:trPr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F24FA" w:rsidRPr="00687223" w:rsidTr="007F24FA">
        <w:trPr>
          <w:gridAfter w:val="1"/>
          <w:wAfter w:w="96" w:type="dxa"/>
          <w:trHeight w:val="726"/>
        </w:trPr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F24FA" w:rsidRPr="00687223" w:rsidTr="007F24FA">
        <w:trPr>
          <w:gridAfter w:val="1"/>
          <w:wAfter w:w="96" w:type="dxa"/>
          <w:trHeight w:val="726"/>
        </w:trPr>
        <w:tc>
          <w:tcPr>
            <w:tcW w:w="16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F24FA" w:rsidRPr="00687223" w:rsidRDefault="007F24FA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687223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72936</w:t>
            </w:r>
            <w:r w:rsidR="00687223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687223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2750</w:t>
            </w:r>
            <w:r w:rsidR="0068722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8722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687223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22703</w:t>
            </w:r>
            <w:r w:rsidR="00687223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A" w:rsidRPr="00687223" w:rsidRDefault="007F24FA" w:rsidP="00687223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22733</w:t>
            </w:r>
            <w:r w:rsidR="00687223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</w:tr>
      <w:tr w:rsidR="00687223" w:rsidRPr="00687223" w:rsidTr="007F24FA">
        <w:trPr>
          <w:gridAfter w:val="1"/>
          <w:wAfter w:w="96" w:type="dxa"/>
          <w:trHeight w:val="726"/>
        </w:trPr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7223" w:rsidRPr="00687223" w:rsidRDefault="00687223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23" w:rsidRPr="00687223" w:rsidRDefault="00687223" w:rsidP="007F24F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Всего по источникам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23" w:rsidRPr="00687223" w:rsidRDefault="00687223" w:rsidP="0057782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72936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23" w:rsidRPr="00687223" w:rsidRDefault="00687223" w:rsidP="0057782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2750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23" w:rsidRPr="00687223" w:rsidRDefault="00687223" w:rsidP="0057782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22703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23" w:rsidRPr="00687223" w:rsidRDefault="00687223" w:rsidP="0057782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223">
              <w:rPr>
                <w:rFonts w:ascii="Times New Roman" w:hAnsi="Times New Roman" w:cs="Times New Roman"/>
                <w:sz w:val="22"/>
                <w:szCs w:val="22"/>
              </w:rPr>
              <w:t>22733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</w:tr>
      <w:tr w:rsidR="00C164B0" w:rsidRPr="00687223" w:rsidTr="007F24FA"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687223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Конечные результаты реализации муниципальной программы</w:t>
            </w:r>
          </w:p>
        </w:tc>
        <w:tc>
          <w:tcPr>
            <w:tcW w:w="7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1. Нецелевое расходование средств бюджетов обслуживаемых организаций: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2023 год – 0%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2024 год – 0 %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2025 год – 0%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2. Наличие обоснованных жалоб со стороны руководителей обслуживаемых организаций: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2023 год – 0 шт.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2024 год – 0 шт.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2025 год – 0 шт.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3. Нарушение сроков предоставления форм бюджетной отчетности по всем обслуживаемым организациям в вышестоящие организации: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2023 год – 0 шт.</w:t>
            </w:r>
          </w:p>
          <w:p w:rsidR="007F24FA" w:rsidRPr="00687223" w:rsidRDefault="007F24FA" w:rsidP="007F24FA">
            <w:pPr>
              <w:pStyle w:val="ConsPlusCell"/>
              <w:jc w:val="both"/>
              <w:rPr>
                <w:sz w:val="22"/>
                <w:szCs w:val="22"/>
              </w:rPr>
            </w:pPr>
            <w:r w:rsidRPr="00687223">
              <w:rPr>
                <w:sz w:val="22"/>
                <w:szCs w:val="22"/>
              </w:rPr>
              <w:t>2024 год – 0 шт.</w:t>
            </w:r>
          </w:p>
          <w:p w:rsidR="00C164B0" w:rsidRPr="00687223" w:rsidRDefault="007F24FA" w:rsidP="007F2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7223">
              <w:rPr>
                <w:rFonts w:ascii="Times New Roman" w:hAnsi="Times New Roman" w:cs="Times New Roman"/>
              </w:rPr>
              <w:t>2025 год – 0 шт.</w:t>
            </w:r>
          </w:p>
        </w:tc>
      </w:tr>
    </w:tbl>
    <w:p w:rsidR="00C164B0" w:rsidRPr="00687223" w:rsidRDefault="00C164B0" w:rsidP="00C164B0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751B6B" w:rsidRPr="00687223" w:rsidRDefault="00751B6B">
      <w:pPr>
        <w:rPr>
          <w:rFonts w:ascii="Times New Roman" w:hAnsi="Times New Roman" w:cs="Times New Roman"/>
        </w:rPr>
      </w:pPr>
    </w:p>
    <w:sectPr w:rsidR="00751B6B" w:rsidRPr="00687223" w:rsidSect="0075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64B0"/>
    <w:rsid w:val="0009560B"/>
    <w:rsid w:val="002C0300"/>
    <w:rsid w:val="002C7B78"/>
    <w:rsid w:val="003053C9"/>
    <w:rsid w:val="003358E7"/>
    <w:rsid w:val="00687223"/>
    <w:rsid w:val="0069388A"/>
    <w:rsid w:val="00751B6B"/>
    <w:rsid w:val="007F24FA"/>
    <w:rsid w:val="00870CAD"/>
    <w:rsid w:val="00A44CD8"/>
    <w:rsid w:val="00B641EE"/>
    <w:rsid w:val="00C164B0"/>
    <w:rsid w:val="00CF2735"/>
    <w:rsid w:val="00D26293"/>
    <w:rsid w:val="00EC57A7"/>
    <w:rsid w:val="00F6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B0"/>
    <w:pPr>
      <w:spacing w:after="160" w:line="254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0"/>
    <w:uiPriority w:val="99"/>
    <w:qFormat/>
    <w:rsid w:val="007F24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16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F24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rsid w:val="007F2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maschin</dc:creator>
  <cp:lastModifiedBy>GammelSA</cp:lastModifiedBy>
  <cp:revision>4</cp:revision>
  <dcterms:created xsi:type="dcterms:W3CDTF">2023-11-21T11:35:00Z</dcterms:created>
  <dcterms:modified xsi:type="dcterms:W3CDTF">2023-11-22T09:35:00Z</dcterms:modified>
</cp:coreProperties>
</file>